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BULLITT COUNTY PUBLIC SCHOOLS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1040 HIGHWAY 44 EAST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SHEPHERDSVILLE,  KY 40165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1"/>
        <w:tblW w:w="10800.0" w:type="dxa"/>
        <w:jc w:val="left"/>
        <w:tblLayout w:type="fixed"/>
        <w:tblLook w:val="0400"/>
      </w:tblPr>
      <w:tblGrid>
        <w:gridCol w:w="10800"/>
        <w:tblGridChange w:id="0">
          <w:tblGrid>
            <w:gridCol w:w="10800"/>
          </w:tblGrid>
        </w:tblGridChange>
      </w:tblGrid>
      <w:tr>
        <w:trPr>
          <w:cantSplit w:val="0"/>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MEETING OF THE BULLITT COUNTY BOARD OF EDUCATION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11, 2023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5:00 PM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MINUTES OF RECORD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Bullitt County Board of Education met at the Frank R. Hatfield Administrative Center, 1040 Highway 44 East, Shepherdsville, Kentucky, 40165, at 5:00 PM on December 11, 2023 with the following members present: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Ms. Linda Belcher                     (2)   Mrs. Nita Neal                 (3)   Dr. Matt Mooney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Mrs. Lisa Hodges                      (5)   Mr. Darrell Coleman </w:t>
            </w:r>
          </w:p>
        </w:tc>
      </w:tr>
      <w:tr>
        <w:trPr>
          <w:cantSplit w:val="0"/>
          <w:tblHeader w:val="0"/>
        </w:trPr>
        <w:tc>
          <w:tcPr/>
          <w:p w:rsidR="00000000" w:rsidDel="00000000" w:rsidP="00000000" w:rsidRDefault="00000000" w:rsidRPr="00000000" w14:paraId="0000000C">
            <w:pPr>
              <w:jc w:val="center"/>
              <w:rPr>
                <w:b w:val="1"/>
              </w:rPr>
            </w:pPr>
            <w:r w:rsidDel="00000000" w:rsidR="00000000" w:rsidRPr="00000000">
              <w:rPr>
                <w:b w:val="1"/>
                <w:rtl w:val="0"/>
              </w:rPr>
              <w:t xml:space="preserve">CALL TO ORDER</w:t>
            </w:r>
          </w:p>
          <w:p w:rsidR="00000000" w:rsidDel="00000000" w:rsidP="00000000" w:rsidRDefault="00000000" w:rsidRPr="00000000" w14:paraId="0000000D">
            <w:pPr>
              <w:jc w:val="center"/>
              <w:rPr/>
            </w:pPr>
            <w:r w:rsidDel="00000000" w:rsidR="00000000" w:rsidRPr="00000000">
              <w:rPr>
                <w:rtl w:val="0"/>
              </w:rPr>
              <w:t xml:space="preserve">The December 11, 2023 Regular Meeting of the Bullitt County Board of Education was called to order at </w:t>
            </w:r>
          </w:p>
          <w:p w:rsidR="00000000" w:rsidDel="00000000" w:rsidP="00000000" w:rsidRDefault="00000000" w:rsidRPr="00000000" w14:paraId="0000000E">
            <w:pPr>
              <w:jc w:val="center"/>
              <w:rPr/>
            </w:pPr>
            <w:r w:rsidDel="00000000" w:rsidR="00000000" w:rsidRPr="00000000">
              <w:rPr>
                <w:rtl w:val="0"/>
              </w:rPr>
              <w:t xml:space="preserve">5:00 p.m. by the Board Chair Darrell Coleman.</w:t>
            </w:r>
          </w:p>
        </w:tc>
      </w:tr>
      <w:tr>
        <w:trPr>
          <w:cantSplit w:val="0"/>
          <w:tblHeader w:val="0"/>
        </w:trPr>
        <w:tc>
          <w:tcPr/>
          <w:p w:rsidR="00000000" w:rsidDel="00000000" w:rsidP="00000000" w:rsidRDefault="00000000" w:rsidRPr="00000000" w14:paraId="0000000F">
            <w:pPr>
              <w:jc w:val="center"/>
              <w:rPr>
                <w:b w:val="1"/>
              </w:rPr>
            </w:pPr>
            <w:r w:rsidDel="00000000" w:rsidR="00000000" w:rsidRPr="00000000">
              <w:rPr>
                <w:b w:val="1"/>
                <w:rtl w:val="0"/>
              </w:rPr>
              <w:t xml:space="preserve">ADOPT THE AGENDA</w:t>
            </w:r>
          </w:p>
        </w:tc>
      </w:tr>
      <w:tr>
        <w:trPr>
          <w:cantSplit w:val="0"/>
          <w:tblHeader w:val="0"/>
        </w:trPr>
        <w:tc>
          <w:tcPr>
            <w:vAlign w:val="center"/>
          </w:tcPr>
          <w:p w:rsidR="00000000" w:rsidDel="00000000" w:rsidP="00000000" w:rsidRDefault="00000000" w:rsidRPr="00000000" w14:paraId="00000010">
            <w:pPr>
              <w:rPr/>
            </w:pPr>
            <w:r w:rsidDel="00000000" w:rsidR="00000000" w:rsidRPr="00000000">
              <w:rPr>
                <w:b w:val="1"/>
                <w:rtl w:val="0"/>
              </w:rPr>
              <w:t xml:space="preserve">2023-195- </w:t>
            </w:r>
            <w:r w:rsidDel="00000000" w:rsidR="00000000" w:rsidRPr="00000000">
              <w:rPr>
                <w:rtl w:val="0"/>
              </w:rPr>
              <w:t xml:space="preserve">Motion made by Ms. Linda Belcher and a second by Dr. Matt Mooney to adopt the agenda as presented.  All members voted YES.</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800.0" w:type="dxa"/>
        <w:jc w:val="left"/>
        <w:tblLayout w:type="fixed"/>
        <w:tblLook w:val="0400"/>
      </w:tblPr>
      <w:tblGrid>
        <w:gridCol w:w="10800"/>
        <w:tblGridChange w:id="0">
          <w:tblGrid>
            <w:gridCol w:w="10800"/>
          </w:tblGrid>
        </w:tblGridChange>
      </w:tblGrid>
      <w:tr>
        <w:trPr>
          <w:cantSplit w:val="0"/>
          <w:tblHeader w:val="0"/>
        </w:trPr>
        <w:tc>
          <w:tcPr>
            <w:tcMar>
              <w:top w:w="15.0" w:type="dxa"/>
              <w:left w:w="0.0" w:type="dxa"/>
              <w:bottom w:w="15.0" w:type="dxa"/>
              <w:right w:w="15.0" w:type="dxa"/>
            </w:tcMar>
          </w:tcPr>
          <w:p w:rsidR="00000000" w:rsidDel="00000000" w:rsidP="00000000" w:rsidRDefault="00000000" w:rsidRPr="00000000" w14:paraId="00000012">
            <w:pPr>
              <w:rPr/>
            </w:pPr>
            <w:r w:rsidDel="00000000" w:rsidR="00000000" w:rsidRPr="00000000">
              <w:rPr>
                <w:rtl w:val="0"/>
              </w:rPr>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13">
            <w:pPr>
              <w:jc w:val="center"/>
              <w:rPr>
                <w:b w:val="1"/>
              </w:rPr>
            </w:pPr>
            <w:r w:rsidDel="00000000" w:rsidR="00000000" w:rsidRPr="00000000">
              <w:rPr>
                <w:b w:val="1"/>
                <w:rtl w:val="0"/>
              </w:rPr>
              <w:t xml:space="preserve">PRESENTATIONS</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 Noble Ward presented the Bullitt East Fine Arts Addition Bid Review and Re-issue Bid Package 3:Low Voltage and AV Systems package</w:t>
            </w:r>
          </w:p>
        </w:tc>
      </w:tr>
      <w:tr>
        <w:trPr>
          <w:cantSplit w:val="0"/>
          <w:tblHeader w:val="0"/>
        </w:trPr>
        <w:tc>
          <w:tcPr>
            <w:vAlign w:val="center"/>
          </w:tcPr>
          <w:p w:rsidR="00000000" w:rsidDel="00000000" w:rsidP="00000000" w:rsidRDefault="00000000" w:rsidRPr="00000000" w14:paraId="00000015">
            <w:pPr>
              <w:rPr/>
            </w:pPr>
            <w:r w:rsidDel="00000000" w:rsidR="00000000" w:rsidRPr="00000000">
              <w:rPr>
                <w:rtl w:val="0"/>
              </w:rPr>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submissions have been reviewed and meet requirements of the Contract Documents.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Studio Kremer recommends the Board provide a Notice to Proceed for the submitted Bids and approve of the Design Team to formalizing contracts for :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 Package 1: General Construction – Award to EH Construction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 Package 2: Building Automation Controls – Award to Trane US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Re-Issue Bid Package 3: Low Voltage and AV Systems package due to a lack of bidder participation.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 for Re-Bid: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Release for Bid - December 20, 2023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 Date - January 3, 2024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Board Update and Request for Notice to Proceed - January 8, 2024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Board’s approval of the Contract - January 22, 2024</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Resource Officer Discussion.  Sarah Smith presented before the Board </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21">
            <w:pPr>
              <w:rPr/>
            </w:pPr>
            <w:r w:rsidDel="00000000" w:rsidR="00000000" w:rsidRPr="00000000">
              <w:rPr>
                <w:b w:val="1"/>
                <w:rtl w:val="0"/>
              </w:rPr>
              <w:t xml:space="preserve">c.</w:t>
            </w:r>
            <w:r w:rsidDel="00000000" w:rsidR="00000000" w:rsidRPr="00000000">
              <w:rPr>
                <w:rtl w:val="0"/>
              </w:rPr>
              <w:t xml:space="preserve"> Audience Comments (15 Minutes)</w:t>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22">
            <w:pPr>
              <w:jc w:val="center"/>
              <w:rPr>
                <w:b w:val="1"/>
              </w:rPr>
            </w:pPr>
            <w:r w:rsidDel="00000000" w:rsidR="00000000" w:rsidRPr="00000000">
              <w:rPr>
                <w:b w:val="1"/>
                <w:rtl w:val="0"/>
              </w:rPr>
              <w:t xml:space="preserve">COMMUNICATIONS</w:t>
            </w:r>
          </w:p>
          <w:p w:rsidR="00000000" w:rsidDel="00000000" w:rsidP="00000000" w:rsidRDefault="00000000" w:rsidRPr="00000000" w14:paraId="00000023">
            <w:pPr>
              <w:jc w:val="center"/>
              <w:rPr>
                <w:u w:val="single"/>
              </w:rPr>
            </w:pPr>
            <w:r w:rsidDel="00000000" w:rsidR="00000000" w:rsidRPr="00000000">
              <w:rPr>
                <w:u w:val="single"/>
                <w:rtl w:val="0"/>
              </w:rPr>
              <w:t xml:space="preserve">Audience Comments</w:t>
            </w:r>
          </w:p>
          <w:p w:rsidR="00000000" w:rsidDel="00000000" w:rsidP="00000000" w:rsidRDefault="00000000" w:rsidRPr="00000000" w14:paraId="00000024">
            <w:pPr>
              <w:jc w:val="center"/>
              <w:rPr/>
            </w:pPr>
            <w:r w:rsidDel="00000000" w:rsidR="00000000" w:rsidRPr="00000000">
              <w:rPr>
                <w:rtl w:val="0"/>
              </w:rPr>
              <w:t xml:space="preserve">(none)</w:t>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25">
            <w:pPr>
              <w:jc w:val="center"/>
              <w:rPr>
                <w:b w:val="1"/>
              </w:rPr>
            </w:pPr>
            <w:r w:rsidDel="00000000" w:rsidR="00000000" w:rsidRPr="00000000">
              <w:rPr>
                <w:b w:val="1"/>
                <w:rtl w:val="0"/>
              </w:rPr>
              <w:t xml:space="preserve">CONSENT ITEM</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26">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rPr/>
            </w:pPr>
            <w:r w:rsidDel="00000000" w:rsidR="00000000" w:rsidRPr="00000000">
              <w:rPr>
                <w:rtl w:val="0"/>
              </w:rPr>
              <w:br w:type="textWrapping"/>
            </w:r>
            <w:r w:rsidDel="00000000" w:rsidR="00000000" w:rsidRPr="00000000">
              <w:rPr>
                <w:b w:val="1"/>
                <w:rtl w:val="0"/>
              </w:rPr>
              <w:t xml:space="preserve">2023-196-</w:t>
            </w:r>
            <w:r w:rsidDel="00000000" w:rsidR="00000000" w:rsidRPr="00000000">
              <w:rPr>
                <w:rtl w:val="0"/>
              </w:rPr>
              <w:t xml:space="preserve">Motion made by Ms. Linda Belcher and a second by Ms. Nita Neal to approve Consent Items as presented, noting that all items have been studied with individual recommendations and rationale being provided prior to the meeting in the report packed on December 5, 2023, which is available online.  All Members voted YES.</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800.0" w:type="dxa"/>
        <w:jc w:val="left"/>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29">
            <w:pPr>
              <w:rPr/>
            </w:pPr>
            <w:r w:rsidDel="00000000" w:rsidR="00000000" w:rsidRPr="00000000">
              <w:rPr>
                <w:b w:val="1"/>
                <w:rtl w:val="0"/>
              </w:rPr>
              <w:t xml:space="preserve">       a.</w:t>
            </w:r>
            <w:r w:rsidDel="00000000" w:rsidR="00000000" w:rsidRPr="00000000">
              <w:rPr>
                <w:rtl w:val="0"/>
              </w:rPr>
              <w:t xml:space="preserve"> Bullitt County Foundation for Excellence Grant Awards</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2A">
            <w:pPr>
              <w:rPr/>
            </w:pPr>
            <w:r w:rsidDel="00000000" w:rsidR="00000000" w:rsidRPr="00000000">
              <w:rPr>
                <w:rFonts w:ascii="Calibri" w:cs="Calibri" w:eastAsia="Calibri" w:hAnsi="Calibri"/>
                <w:sz w:val="22"/>
                <w:szCs w:val="22"/>
              </w:rPr>
              <w:drawing>
                <wp:inline distB="0" distT="0" distL="0" distR="0">
                  <wp:extent cx="5654040" cy="4808220"/>
                  <wp:effectExtent b="0" l="0" r="0" t="0"/>
                  <wp:docPr descr="C:\Users\angela.burnett\AppData\Local\Microsoft\Windows\INetCache\Content.MSO\D9547E15.tmp" id="1" name="image1.png"/>
                  <a:graphic>
                    <a:graphicData uri="http://schemas.openxmlformats.org/drawingml/2006/picture">
                      <pic:pic>
                        <pic:nvPicPr>
                          <pic:cNvPr descr="C:\Users\angela.burnett\AppData\Local\Microsoft\Windows\INetCache\Content.MSO\D9547E15.tmp" id="0" name="image1.png"/>
                          <pic:cNvPicPr preferRelativeResize="0"/>
                        </pic:nvPicPr>
                        <pic:blipFill>
                          <a:blip r:embed="rId7"/>
                          <a:srcRect b="0" l="0" r="0" t="0"/>
                          <a:stretch>
                            <a:fillRect/>
                          </a:stretch>
                        </pic:blipFill>
                        <pic:spPr>
                          <a:xfrm>
                            <a:off x="0" y="0"/>
                            <a:ext cx="5654040" cy="4808220"/>
                          </a:xfrm>
                          <a:prstGeom prst="rect"/>
                          <a:ln/>
                        </pic:spPr>
                      </pic:pic>
                    </a:graphicData>
                  </a:graphic>
                </wp:inline>
              </w:drawing>
            </w:r>
            <w:r w:rsidDel="00000000" w:rsidR="00000000" w:rsidRPr="00000000">
              <w:rPr>
                <w:rtl w:val="0"/>
              </w:rPr>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2B">
            <w:pPr>
              <w:jc w:val="center"/>
              <w:rPr>
                <w:b w:val="1"/>
              </w:rPr>
            </w:pPr>
            <w:r w:rsidDel="00000000" w:rsidR="00000000" w:rsidRPr="00000000">
              <w:rPr>
                <w:b w:val="1"/>
                <w:rtl w:val="0"/>
              </w:rPr>
              <w:t xml:space="preserve">GENERAL DISCUSSION</w:t>
            </w:r>
          </w:p>
        </w:tc>
      </w:tr>
      <w:tr>
        <w:trPr>
          <w:cantSplit w:val="0"/>
          <w:tblHeader w:val="0"/>
        </w:trPr>
        <w:tc>
          <w:tcPr>
            <w:tcMar>
              <w:top w:w="15.0" w:type="dxa"/>
              <w:left w:w="525.0" w:type="dxa"/>
              <w:bottom w:w="15.0" w:type="dxa"/>
              <w:right w:w="15.0" w:type="dxa"/>
            </w:tcMar>
          </w:tcPr>
          <w:p w:rsidR="00000000" w:rsidDel="00000000" w:rsidP="00000000" w:rsidRDefault="00000000" w:rsidRPr="00000000" w14:paraId="0000002C">
            <w:pPr>
              <w:rPr/>
            </w:pPr>
            <w:r w:rsidDel="00000000" w:rsidR="00000000" w:rsidRPr="00000000">
              <w:rPr>
                <w:b w:val="1"/>
                <w:rtl w:val="0"/>
              </w:rPr>
              <w:t xml:space="preserve">a.</w:t>
            </w:r>
            <w:r w:rsidDel="00000000" w:rsidR="00000000" w:rsidRPr="00000000">
              <w:rPr>
                <w:rtl w:val="0"/>
              </w:rPr>
              <w:t xml:space="preserve"> School Calendar Year 2024-2025 The Calendar Committee presented the findings of the survey and recommended Calendar Option 2.  It will be brought back to the Board Meeting on December 18, 2023 for Board approval.</w:t>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2D">
            <w:pPr>
              <w:jc w:val="center"/>
              <w:rPr>
                <w:b w:val="1"/>
              </w:rPr>
            </w:pPr>
            <w:r w:rsidDel="00000000" w:rsidR="00000000" w:rsidRPr="00000000">
              <w:rPr>
                <w:b w:val="1"/>
                <w:rtl w:val="0"/>
              </w:rPr>
              <w:t xml:space="preserve">ADJOURNMENT</w:t>
            </w:r>
          </w:p>
        </w:tc>
      </w:tr>
      <w:tr>
        <w:trPr>
          <w:cantSplit w:val="0"/>
          <w:tblHeader w:val="0"/>
        </w:trPr>
        <w:tc>
          <w:tcPr>
            <w:vAlign w:val="center"/>
          </w:tcPr>
          <w:p w:rsidR="00000000" w:rsidDel="00000000" w:rsidP="00000000" w:rsidRDefault="00000000" w:rsidRPr="00000000" w14:paraId="0000002E">
            <w:pPr>
              <w:rPr/>
            </w:pPr>
            <w:r w:rsidDel="00000000" w:rsidR="00000000" w:rsidRPr="00000000">
              <w:rPr>
                <w:rtl w:val="0"/>
              </w:rPr>
              <w:br w:type="textWrapping"/>
            </w:r>
            <w:r w:rsidDel="00000000" w:rsidR="00000000" w:rsidRPr="00000000">
              <w:rPr>
                <w:b w:val="1"/>
                <w:rtl w:val="0"/>
              </w:rPr>
              <w:t xml:space="preserve">2023-197-</w:t>
            </w:r>
            <w:r w:rsidDel="00000000" w:rsidR="00000000" w:rsidRPr="00000000">
              <w:rPr>
                <w:rtl w:val="0"/>
              </w:rPr>
              <w:t xml:space="preserve"> Motion by  Mrs. Lisa Hodges and a second by Dr. Matt Mooney to adjourn at 6:01p.m.  All members voted YES.</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6.0" w:type="dxa"/>
        <w:jc w:val="left"/>
        <w:tblLayout w:type="fixed"/>
        <w:tblLook w:val="0400"/>
      </w:tblPr>
      <w:tblGrid>
        <w:gridCol w:w="96"/>
        <w:tblGridChange w:id="0">
          <w:tblGrid>
            <w:gridCol w:w="96"/>
          </w:tblGrid>
        </w:tblGridChange>
      </w:tblGrid>
      <w:tr>
        <w:trPr>
          <w:cantSplit w:val="0"/>
          <w:tblHeader w:val="0"/>
        </w:trPr>
        <w:tc>
          <w:tcPr>
            <w:vAlign w:val="center"/>
          </w:tcPr>
          <w:p w:rsidR="00000000" w:rsidDel="00000000" w:rsidP="00000000" w:rsidRDefault="00000000" w:rsidRPr="00000000" w14:paraId="00000030">
            <w:pPr>
              <w:rPr/>
            </w:pPr>
            <w:r w:rsidDel="00000000" w:rsidR="00000000" w:rsidRPr="00000000">
              <w:rPr>
                <w:rtl w:val="0"/>
              </w:rPr>
            </w:r>
          </w:p>
        </w:tc>
      </w:tr>
      <w:tr>
        <w:trPr>
          <w:cantSplit w:val="0"/>
          <w:tblHeader w:val="0"/>
        </w:trPr>
        <w:tc>
          <w:tcPr>
            <w:tcMar>
              <w:top w:w="15.0" w:type="dxa"/>
              <w:left w:w="0.0" w:type="dxa"/>
              <w:bottom w:w="15.0" w:type="dxa"/>
              <w:right w:w="15.0" w:type="dxa"/>
            </w:tcMar>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                                     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CHAIRPERSON                                                                    SECRETARY</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WuCOw9SUL/aRdW50TbevXO6Vg==">CgMxLjAyCGguZ2pkZ3hzOAByITFqUlZEUi05VVhGSXBuY0w2aEl1Vmxnb2cwMUplcTRaWQ==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