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bookmarkStart w:colFirst="0" w:colLast="0" w:name="_c2jieish42y1" w:id="0"/>
      <w:bookmarkEnd w:id="0"/>
      <w:r w:rsidDel="00000000" w:rsidR="00000000" w:rsidRPr="00000000">
        <w:rPr>
          <w:rFonts w:ascii="Calibri" w:cs="Calibri" w:eastAsia="Calibri" w:hAnsi="Calibri"/>
          <w:rtl w:val="0"/>
        </w:rPr>
        <w:t xml:space="preserve">1N5</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fmi47swom68q" w:id="1"/>
      <w:bookmarkEnd w:id="1"/>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1N5 will provide qualified mental health providers, independently licensed, or supervised associates to deliver quality mental health counseling and related services. These mental health services will include but are not limited to the following: Question Persuade Refer training for staff, parents, and students,  Mental health education (wellness wheel, power of play, etc.) for students, Suicide prevention education, Mental Health small groups focusing on protective factors, Parent education, Resource distribution, Staff professional development.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th</w:t>
      </w:r>
      <w:r w:rsidDel="00000000" w:rsidR="00000000" w:rsidRPr="00000000">
        <w:rPr>
          <w:rFonts w:ascii="Calibri" w:cs="Calibri" w:eastAsia="Calibri" w:hAnsi="Calibri"/>
          <w:rtl w:val="0"/>
        </w:rPr>
        <w:t xml:space="preserve">e Memorandum of Understanding between 1N5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