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Board Memo</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9/10/2026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AGENDA ITEM DETAILS: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School/Department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Student/Community Services</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Product Vendor or Grant Issuer</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Commonwealth of Kentucky</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Product or Grant Name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FY26-27 Community Education Grant – Boone County Schools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Date/Term (Beginning and End Dates/Year)</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September 17, 2026 – June 30, 2027</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APPLICABLE BOARD POLICY &amp; STRATEGIC PLAN GOAL: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808080"/>
          <w:sz w:val="24"/>
          <w:szCs w:val="24"/>
          <w:u w:val="none"/>
          <w:shd w:fill="auto" w:val="clear"/>
          <w:vertAlign w:val="baseline"/>
          <w:rtl w:val="0"/>
        </w:rPr>
        <w:t xml:space="preserve">Board Policy 10.3</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Relationships with Community Organizations.  </w:t>
      </w:r>
      <w:r w:rsidDel="00000000" w:rsidR="00000000" w:rsidRPr="00000000">
        <w:rPr>
          <w:rFonts w:ascii="Times New Roman" w:cs="Times New Roman" w:eastAsia="Times New Roman" w:hAnsi="Times New Roman"/>
          <w:b w:val="1"/>
          <w:bCs w:val="1"/>
          <w:i w:val="0"/>
          <w:iCs w:val="0"/>
          <w:smallCaps w:val="0"/>
          <w:strike w:val="0"/>
          <w:color w:val="808080"/>
          <w:sz w:val="24"/>
          <w:szCs w:val="24"/>
          <w:u w:val="none"/>
          <w:shd w:fill="auto" w:val="clear"/>
          <w:vertAlign w:val="baseline"/>
          <w:rtl w:val="0"/>
        </w:rPr>
        <w:t xml:space="preserve">Strategic Plan Connection:</w:t>
      </w: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 Goal 3, Boone County Schools will cultivate trust, transparency, and inclusion as we engage our diverse community of stakeholders.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80808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USE OF CONTRACT/PURCHASE/AGREEMENT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FY26-FY27 CONTRACT AND MEMORANDUM OF AGREEMENT FOR COMMUNITY EDUCATION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Community Education grant provides us the opportunity to interact positively with our community in a variety of ways. Community Education encompasses five components life-long learning opportunities offered throughout the county to all residents utilizing our school facilities; P-12 support; collaboration internally and with external partners and the facilitation of a volunteer program. Our Community Education Advisory Council will be exploring innovative strategies to engage our community in our work to ensure equal opportunities and access for all students in Boone County. </w:t>
      </w:r>
      <w:r w:rsidDel="00000000" w:rsidR="00000000" w:rsidRPr="00000000">
        <w:rPr>
          <w:rFonts w:ascii="Calibri" w:cs="Calibri" w:eastAsia="Calibri" w:hAnsi="Calibri"/>
          <w:rtl w:val="0"/>
        </w:rPr>
        <w:t xml:space="preserve">They, too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influence our Strategic Plan work as well as public relations and legislative advocacy.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FUNDING FOR PURCHASES AND OTHER REQUESTS: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Total Cost</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$20,000.00</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Funding Source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General Fund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*If more than one funding source, list below along with amount or percent for each source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color w:val="808080"/>
          <w:sz w:val="22"/>
          <w:szCs w:val="22"/>
          <w:rtl w:val="0"/>
        </w:rPr>
        <w:t xml:space="preserve">N/A</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IF THIS IS A GRANT, ENTER AMOUNT TO BE AWARDED: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$20,000.00</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RECOMMENDATION: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recommend that the Board accept </w:t>
      </w:r>
      <w:r w:rsidDel="00000000" w:rsidR="00000000" w:rsidRPr="00000000">
        <w:rPr>
          <w:rFonts w:ascii="Calibri" w:cs="Calibri" w:eastAsia="Calibri" w:hAnsi="Calibri"/>
          <w:rtl w:val="0"/>
        </w:rPr>
        <w:t xml:space="preserve">The Community Education grant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as presented.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4"/>
          <w:szCs w:val="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Dr. James Detwiler, Deputy Superintendent/CAO</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16"/>
          <w:szCs w:val="16"/>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CONTACT PERSON: (submitter)</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Jodi Hall, Executive Director of Student/Community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008"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-104774</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Ms. Karen Byrd</w:t>
      <w:tab/>
      <w:tab/>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Ms. Julie Maddox</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 Jesse Parks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Mrs. Carolyn Wolfe</w:t>
      <w:tab/>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ab/>
      <w:tab/>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tab/>
      <w:t xml:space="preserve"> </w:t>
      <w:tab/>
      <w:tab/>
      <w:tab/>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f497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2880" w:right="0" w:hanging="3600"/>
      <w:jc w:val="left"/>
      <w:rPr>
        <w:rFonts w:ascii="Times New Roman" w:cs="Times New Roman" w:eastAsia="Times New Roman" w:hAnsi="Times New Roman"/>
        <w:b w:val="1"/>
        <w:bCs w:val="1"/>
        <w:i w:val="0"/>
        <w:iCs w:val="0"/>
        <w:smallCaps w:val="0"/>
        <w:strike w:val="0"/>
        <w:color w:val="8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f191e"/>
        <w:sz w:val="20"/>
        <w:szCs w:val="20"/>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-260349</wp:posOffset>
              </wp:positionH>
              <wp:positionV relativeFrom="paragraph">
                <wp:posOffset>53340</wp:posOffset>
              </wp:positionV>
              <wp:extent cx="7292975" cy="12700"/>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-260349</wp:posOffset>
              </wp:positionH>
              <wp:positionV relativeFrom="paragraph">
                <wp:posOffset>53340</wp:posOffset>
              </wp:positionV>
              <wp:extent cx="7292975" cy="1270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292975"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