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n1f8vm8199o5" w:id="0"/>
      <w:bookmarkEnd w:id="0"/>
      <w:r w:rsidDel="00000000" w:rsidR="00000000" w:rsidRPr="00000000">
        <w:rPr>
          <w:rFonts w:ascii="Calibri" w:cs="Calibri" w:eastAsia="Calibri" w:hAnsi="Calibri"/>
          <w:rtl w:val="0"/>
        </w:rPr>
        <w:t xml:space="preserve">Ramey Estep/Re-Group</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pnwc91zfh3i1"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8"/>
          <w:szCs w:val="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rPr>
      </w:pPr>
      <w:r w:rsidDel="00000000" w:rsidR="00000000" w:rsidRPr="00000000">
        <w:rPr>
          <w:rFonts w:ascii="Calibri" w:cs="Calibri" w:eastAsia="Calibri" w:hAnsi="Calibri"/>
          <w:b w:val="1"/>
          <w:bCs w:val="1"/>
          <w:color w:val="666666"/>
          <w:rtl w:val="0"/>
        </w:rPr>
        <w:t xml:space="preserve">Board Policy 8.14 – </w:t>
      </w:r>
      <w:r w:rsidDel="00000000" w:rsidR="00000000" w:rsidRPr="00000000">
        <w:rPr>
          <w:rFonts w:ascii="Calibri" w:cs="Calibri" w:eastAsia="Calibri" w:hAnsi="Calibri"/>
          <w:color w:val="666666"/>
          <w:rtl w:val="0"/>
        </w:rPr>
        <w:t xml:space="preserve">Guidance and counseling services shall be provided for all children; </w:t>
      </w:r>
      <w:r w:rsidDel="00000000" w:rsidR="00000000" w:rsidRPr="00000000">
        <w:rPr>
          <w:rFonts w:ascii="Calibri" w:cs="Calibri" w:eastAsia="Calibri" w:hAnsi="Calibri"/>
          <w:b w:val="1"/>
          <w:bCs w:val="1"/>
          <w:color w:val="666666"/>
          <w:rtl w:val="0"/>
        </w:rPr>
        <w:t xml:space="preserve">Board Policy 10.3</w:t>
      </w:r>
      <w:r w:rsidDel="00000000" w:rsidR="00000000" w:rsidRPr="00000000">
        <w:rPr>
          <w:rFonts w:ascii="Calibri" w:cs="Calibri" w:eastAsia="Calibri" w:hAnsi="Calibri"/>
          <w:color w:val="666666"/>
          <w:rtl w:val="0"/>
        </w:rPr>
        <w:t xml:space="preserve"> Relationships with Community Organizations; </w:t>
      </w:r>
      <w:r w:rsidDel="00000000" w:rsidR="00000000" w:rsidRPr="00000000">
        <w:rPr>
          <w:rFonts w:ascii="Calibri" w:cs="Calibri" w:eastAsia="Calibri" w:hAnsi="Calibri"/>
          <w:b w:val="1"/>
          <w:bCs w:val="1"/>
          <w:color w:val="666666"/>
          <w:rtl w:val="0"/>
        </w:rPr>
        <w:t xml:space="preserve">Strategic Plan Connection: </w:t>
      </w:r>
      <w:r w:rsidDel="00000000" w:rsidR="00000000" w:rsidRPr="00000000">
        <w:rPr>
          <w:rFonts w:ascii="Calibri" w:cs="Calibri" w:eastAsia="Calibri" w:hAnsi="Calibri"/>
          <w:color w:val="666666"/>
          <w:rtl w:val="0"/>
        </w:rPr>
        <w:t xml:space="preserve">Goal 3, Stakeholder Engagement,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Counseling and Diagnostic Center will provide qualified mental health providers, independently licensed, or supervised associates to deliver quality mental health counseling and related services. These mental health services will include but are not limited to the following: Behavioral health assessments and intake evaluations, Individual outpatient mental health counseling, Crisis assessment, intervention, stabilization, and safety planning, consultation with school staff regarding behavioral health concerns, student functioning, and support strategies, as permitted by signed releases of information, Participation in multidisciplinary team meetings, including special education, Section 504, MTSS, other student support meetings when requested and authorized.</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for School‑Based Services between Ramey Estep/Re-Group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52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