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w:t>
        <w:tab/>
        <w:t xml:space="preserve">        </w:t>
        <w:tab/>
        <w:tab/>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Boone County School - Preschool</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Boone County Early Childhood Fund</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Boone County Early Childhood Fund Program Contract FY 2027</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8/1/2026 – 6/30/2027</w:t>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Objective 1A, Success Measures - Implementation of expanded preschool supports resulting in an increase in kindergarten readiness rates.</w:t>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color w:val="808080"/>
          <w:sz w:val="16"/>
          <w:szCs w:val="16"/>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The purpose of the grant is to provide a total of $10,000 in quarterly installments of $2,500 to support the Boone County School’s portion of the Dolly Parton Imagination Library costs. There are over 6,000 children in Boone County that have participated in the program including 2,978 graduates that have transitioned into Kindergarten with a personal home library.   </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N/A</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sz w:val="16"/>
          <w:szCs w:val="16"/>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$10,000 </w:t>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I recommend that the Board accept the grant award from the Boone County Early Childhood Fund, as presented.</w:t>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Dr. James Detwiler, Deputy Superintendent / CAO</w:t>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CONTACT PERSON: (submitter)</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Michael Shires, Director of Preschool</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61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F">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