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7/9/2026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6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Boone County Schools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Gateway Community &amp; Technical College (GCTC)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A">
      <w:pPr>
        <w:ind w:left="270" w:firstLine="0"/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Dual Credit Agreement;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C">
      <w:pP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August 1, 2026 – July 31,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0F">
      <w:pP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Strategic Plan Connection – Goal 1: World Class Education. “Boone County Schools will ensure all students will receive rigorous and engaging instruction” (1B)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Memorandum of Agreement allows students who attend Boone County Schools to obtain college credit while attending classes offered by Gateway Community &amp; Technical College (GCTC). The high schools host traditional classes from Gateway Community &amp; Technical College (GCTC) on campus and at Gateway Community &amp; Technical College (GCTC). Students are responsible for the cost of dual credit.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Memorandum of Agreement between Kentucky Community and Technical College System (“KCTCS”), by and for the benefit of Gateway Community and Technical College and Boone County School District,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James Detwiler, Deputy Superintendent/CAO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Tracy Schaefer, Director of MS/HS Teaching &amp; Learning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65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Julie Maddox</w:t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</w:t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-260349</wp:posOffset>
              </wp:positionH>
              <wp:positionV relativeFrom="paragraph">
                <wp:posOffset>53340</wp:posOffset>
              </wp:positionV>
              <wp:extent cx="72929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929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