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w:t>
        <w:tab/>
        <w:t xml:space="preserve">        </w:t>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7/9/2026</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9">
      <w:pPr>
        <w:ind w:left="270" w:firstLine="0"/>
        <w:rPr/>
      </w:pPr>
      <w:r w:rsidDel="00000000" w:rsidR="00000000" w:rsidRPr="00000000">
        <w:rPr>
          <w:rFonts w:ascii="Calibri" w:cs="Calibri" w:eastAsia="Calibri" w:hAnsi="Calibri"/>
          <w:color w:val="000000"/>
          <w:rtl w:val="0"/>
        </w:rPr>
        <w:t xml:space="preserve">Eastern Kentucky University (EKU)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B">
      <w:pPr>
        <w:ind w:left="270" w:firstLine="0"/>
        <w:rPr>
          <w:rFonts w:ascii="Calibri" w:cs="Calibri" w:eastAsia="Calibri" w:hAnsi="Calibri"/>
          <w:b w:val="1"/>
          <w:bCs w:val="1"/>
        </w:rPr>
      </w:pPr>
      <w:r w:rsidDel="00000000" w:rsidR="00000000" w:rsidRPr="00000000">
        <w:rPr>
          <w:rFonts w:ascii="Calibri" w:cs="Calibri" w:eastAsia="Calibri" w:hAnsi="Calibri"/>
          <w:rtl w:val="0"/>
        </w:rPr>
        <w:t xml:space="preserve">Memorandum of Agreement; Dual Credit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rtl w:val="0"/>
        </w:rPr>
        <w:t xml:space="preserve">Date/Term (Beginning and End Dates/Year)</w:t>
      </w:r>
    </w:p>
    <w:p w:rsidR="00000000" w:rsidDel="00000000" w:rsidP="00000000" w:rsidRDefault="00000000" w:rsidRPr="00000000" w14:paraId="0000000C">
      <w:pPr>
        <w:ind w:left="270" w:firstLine="0"/>
        <w:rPr/>
      </w:pPr>
      <w:r w:rsidDel="00000000" w:rsidR="00000000" w:rsidRPr="00000000">
        <w:rPr>
          <w:rFonts w:ascii="Calibri" w:cs="Calibri" w:eastAsia="Calibri" w:hAnsi="Calibri"/>
          <w:color w:val="000000"/>
          <w:rtl w:val="0"/>
        </w:rPr>
        <w:t xml:space="preserve">July 9, 2026 – Ju</w:t>
      </w:r>
      <w:r w:rsidDel="00000000" w:rsidR="00000000" w:rsidRPr="00000000">
        <w:rPr>
          <w:rFonts w:ascii="Calibri" w:cs="Calibri" w:eastAsia="Calibri" w:hAnsi="Calibri"/>
          <w:rtl w:val="0"/>
        </w:rPr>
        <w:t xml:space="preserve">ne 30</w:t>
      </w:r>
      <w:r w:rsidDel="00000000" w:rsidR="00000000" w:rsidRPr="00000000">
        <w:rPr>
          <w:rFonts w:ascii="Calibri" w:cs="Calibri" w:eastAsia="Calibri" w:hAnsi="Calibri"/>
          <w:color w:val="000000"/>
          <w:rtl w:val="0"/>
        </w:rPr>
        <w:t xml:space="preserve">, 2027</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0F">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2">
      <w:pPr>
        <w:rPr/>
      </w:pPr>
      <w:r w:rsidDel="00000000" w:rsidR="00000000" w:rsidRPr="00000000">
        <w:rPr>
          <w:rFonts w:ascii="Calibri" w:cs="Calibri" w:eastAsia="Calibri" w:hAnsi="Calibri"/>
          <w:color w:val="000000"/>
          <w:rtl w:val="0"/>
        </w:rPr>
        <w:t xml:space="preserve">This Memorandum of Agreement allows students who attend Boone County School to obtain college credit while attending classes offered by Eastern Kentucky University (EKU). The high schools host traditional classes from Eastern Kentucky University (EKU) on campus. Students are responsible for the cost of dual credit.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color w:val="000000"/>
          <w:rtl w:val="0"/>
        </w:rPr>
        <w:t xml:space="preserve">I recommend the Board approve </w:t>
      </w:r>
      <w:r w:rsidDel="00000000" w:rsidR="00000000" w:rsidRPr="00000000">
        <w:rPr>
          <w:rFonts w:ascii="Calibri" w:cs="Calibri" w:eastAsia="Calibri" w:hAnsi="Calibri"/>
          <w:rtl w:val="0"/>
        </w:rPr>
        <w:t xml:space="preserve">the Memorandum of Agreement between Boone County Schools and Eastern Kentucky University, </w:t>
      </w:r>
      <w:r w:rsidDel="00000000" w:rsidR="00000000" w:rsidRPr="00000000">
        <w:rPr>
          <w:rFonts w:ascii="Calibri" w:cs="Calibri" w:eastAsia="Calibri" w:hAnsi="Calibri"/>
          <w:color w:val="000000"/>
          <w:rtl w:val="0"/>
        </w:rPr>
        <w:t xml:space="preserve">as presented.</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CONTACT PERSON: (submitter)</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rtl w:val="0"/>
        </w:rPr>
        <w:t xml:space="preserve">Tracy Schaefer, Director MS/HS Teaching &amp; Learning</w:t>
      </w:r>
      <w:r w:rsidDel="00000000" w:rsidR="00000000" w:rsidRPr="00000000">
        <w:rPr>
          <w:rFonts w:ascii="Calibri" w:cs="Calibri" w:eastAsia="Calibri" w:hAnsi="Calibri"/>
          <w:color w:val="000000"/>
          <w:rtl w:val="0"/>
        </w:rPr>
        <w:t xml:space="preserve"> </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