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6/11/2026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High School</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SME Educational Foundation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SME Prime Grant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rtl w:val="0"/>
        </w:rPr>
        <w:t xml:space="preserve">June 11,</w:t>
      </w:r>
      <w:r w:rsidDel="00000000" w:rsidR="00000000" w:rsidRPr="00000000">
        <w:rPr>
          <w:rFonts w:ascii="Calibri" w:cs="Calibri" w:eastAsia="Calibri" w:hAnsi="Calibri"/>
          <w:color w:val="000000"/>
          <w:rtl w:val="0"/>
        </w:rPr>
        <w:t xml:space="preserve"> 2026 – Ju</w:t>
      </w:r>
      <w:r w:rsidDel="00000000" w:rsidR="00000000" w:rsidRPr="00000000">
        <w:rPr>
          <w:rFonts w:ascii="Calibri" w:cs="Calibri" w:eastAsia="Calibri" w:hAnsi="Calibri"/>
          <w:rtl w:val="0"/>
        </w:rPr>
        <w:t xml:space="preserve">ne 30</w:t>
      </w:r>
      <w:r w:rsidDel="00000000" w:rsidR="00000000" w:rsidRPr="00000000">
        <w:rPr>
          <w:rFonts w:ascii="Calibri" w:cs="Calibri" w:eastAsia="Calibri" w:hAnsi="Calibri"/>
          <w:color w:val="000000"/>
          <w:rtl w:val="0"/>
        </w:rPr>
        <w:t xml:space="preserve">, 2029</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color w:val="ff0000"/>
          <w:sz w:val="8"/>
          <w:szCs w:val="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808080"/>
        </w:rPr>
      </w:pPr>
      <w:r w:rsidDel="00000000" w:rsidR="00000000" w:rsidRPr="00000000">
        <w:rPr>
          <w:color w:val="808080"/>
          <w:rtl w:val="0"/>
        </w:rPr>
        <w:t xml:space="preserve">N/A</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DESCRIBE USE OF CONTRACT/PURCHASE/AGREEMENT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tl w:val="0"/>
        </w:rPr>
        <w:t xml:space="preserve">Boone County High School is entering into a three-year PRIME® Grant Agreement with the SME Education Foundation to establish and implement a manufacturing and engineering education program for students. Under the agreement, SME-EF will provide manufacturing equipment and software, industry-informed curriculum, professional development for teachers, support for STEM extracurricular activities, and marketing assistance. The agreement supports workforce development opportunities by providing students with industry-relevant training and career preparation in advanced manufacturing fields. Boone County High School agrees to utilize the resources solely for educational purposes, maintain program reporting requirements, participate in collaborative outreach efforts, and implement the PRIME® program in accordance with the terms outlined in the agreement.</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b w:val="1"/>
          <w:bCs w:val="1"/>
          <w:color w:val="000000"/>
          <w:sz w:val="12"/>
          <w:szCs w:val="1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b w:val="1"/>
          <w:bCs w:val="1"/>
          <w:color w:val="000000"/>
          <w:sz w:val="12"/>
          <w:szCs w:val="1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t xml:space="preserve">The grant includes donated manufacturing and engineering equipment and software, curriculum resources, professional development opportunities for teachers, reimbursement support for STEM extracurricular activities, and marketing assistance. The agreement does not specify a fixed dollar amount within the document; therefore, the award amount will be determined based on the value of the grant resources and services provided by SME-EF.  Estimated value up to $300,000.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bCs w:val="1"/>
          <w:color w:val="000000"/>
          <w:sz w:val="12"/>
          <w:szCs w:val="1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I recommend the board approve the Memorandum of Understanding which provides a grant in the estimated amount of $300,000 between Boone County High School and SME Prime as presented.</w:t>
      </w:r>
    </w:p>
    <w:p w:rsidR="00000000" w:rsidDel="00000000" w:rsidP="00000000" w:rsidRDefault="00000000" w:rsidRPr="00000000" w14:paraId="00000020">
      <w:pPr>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rtl w:val="0"/>
        </w:rPr>
        <w:t xml:space="preserve">Dr. James Detwiler, Deputy Superintendent / CAO</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CONTACT PERSON: (submitter)</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Stacey Black, Principal Boone County High School / Tracy </w:t>
      </w:r>
      <w:r w:rsidDel="00000000" w:rsidR="00000000" w:rsidRPr="00000000">
        <w:rPr>
          <w:rFonts w:ascii="Calibri" w:cs="Calibri" w:eastAsia="Calibri" w:hAnsi="Calibri"/>
          <w:rtl w:val="0"/>
        </w:rPr>
        <w:t xml:space="preserve">Schaefer, Direct of MS/HS - Teaching and Learning</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5" w:top="360"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 Board Chair </w:t>
      <w:tab/>
      <w:tab/>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 Vice Chair     </w:t>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Carolyn Wolfe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Cindy Young</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Ms. Julie Maddox</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-266698</wp:posOffset>
              </wp:positionH>
              <wp:positionV relativeFrom="paragraph">
                <wp:posOffset>53340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-266698</wp:posOffset>
              </wp:positionH>
              <wp:positionV relativeFrom="paragraph">
                <wp:posOffset>53340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