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u w:val="single"/>
        </w:rPr>
      </w:pPr>
      <w:r w:rsidDel="00000000" w:rsidR="00000000" w:rsidRPr="00000000">
        <w:rPr>
          <w:rFonts w:ascii="Calibri" w:cs="Calibri" w:eastAsia="Calibri" w:hAnsi="Calibri"/>
          <w:b w:val="1"/>
          <w:bCs w:val="1"/>
          <w:color w:val="000000"/>
          <w:sz w:val="28"/>
          <w:szCs w:val="28"/>
          <w:u w:val="single"/>
          <w:rtl w:val="0"/>
        </w:rPr>
        <w:t xml:space="preserve">Board Memo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DATE:</w:t>
      </w:r>
      <w:r w:rsidDel="00000000" w:rsidR="00000000" w:rsidRPr="00000000">
        <w:rPr>
          <w:rFonts w:ascii="Calibri" w:cs="Calibri" w:eastAsia="Calibri" w:hAnsi="Calibri"/>
          <w:color w:val="000000"/>
          <w:rtl w:val="0"/>
        </w:rPr>
        <w:t xml:space="preserve">  6/11/2026</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AGENDA ITEM DETAILS:</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School/Department </w:t>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270" w:firstLine="0"/>
        <w:rPr>
          <w:color w:val="000000"/>
        </w:rPr>
      </w:pPr>
      <w:r w:rsidDel="00000000" w:rsidR="00000000" w:rsidRPr="00000000">
        <w:rPr>
          <w:rFonts w:ascii="Calibri" w:cs="Calibri" w:eastAsia="Calibri" w:hAnsi="Calibri"/>
          <w:color w:val="000000"/>
          <w:rtl w:val="0"/>
        </w:rPr>
        <w:t xml:space="preserve">Boone County Schools; BMS, CES, CMS, KES, NHES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Product Vendor or Grant Issuer</w:t>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Newsela Inc.</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Product or Grant Name</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Newsela</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Date/Term (Beginning and End Dates/Year)</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July 1, 2026 - June 30, 2027</w:t>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Calibri" w:cs="Calibri" w:eastAsia="Calibri" w:hAnsi="Calibri"/>
          <w:b w:val="1"/>
          <w:bCs w:val="1"/>
          <w:color w:val="ff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APPLICABLE BOARD POLICY &amp; STRATEGIC PLAN GOAL:  </w:t>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8.21 Strategic Plan Goal 4B-1: Boone County Schools will ensure all students will receive rigorous and engaging instruction via a guaranteed and viable curriculum in every classroom, every day.</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DESCRIBE USE OF CONTRACT/PURCHASE/AGREEMENT</w:t>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Newsela is a K–12 instructional content platform that provides engaging, standards-aligned texts across subjects such as ELA, Social Studies, Science, and SEL. Each article is available at multiple reading levels, supporting differentiated instruction and accessibility for diverse learners. Educators can create assignments, quizzes, and writing prompts while leveraging real-time assessment tools to track comprehension and adjust instruction. With authentic content, adaptive features, and seamless integration, Newsela helps foster critical thinking, literacy, and student engagement across all grade levels.</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FUNDING FOR PURCHASES AND OTHER REQUESTS:</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Total Cost</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$47,339.61</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rtl w:val="0"/>
        </w:rPr>
        <w:t xml:space="preserve">Funding Source</w:t>
        <w:br w:type="textWrapping"/>
      </w:r>
      <w:r w:rsidDel="00000000" w:rsidR="00000000" w:rsidRPr="00000000">
        <w:rPr>
          <w:rFonts w:ascii="Calibri" w:cs="Calibri" w:eastAsia="Calibri" w:hAnsi="Calibri"/>
          <w:rtl w:val="0"/>
        </w:rPr>
        <w:t xml:space="preserve">Various</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     *If more than one funding source, list below along with amount or percent for each source</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SBDM: $24,927.62 / Title 1: $8,700.42 / Textbook Fees: $13,711.57</w:t>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IF THIS IS A GRANT, ENTER AMOUNT TO BE AWARDED:</w:t>
      </w:r>
    </w:p>
    <w:p w:rsidR="00000000" w:rsidDel="00000000" w:rsidP="00000000" w:rsidRDefault="00000000" w:rsidRPr="00000000" w14:paraId="0000001C">
      <w:pPr>
        <w:pBdr>
          <w:top w:space="0" w:sz="0" w:val="nil"/>
          <w:left w:space="0" w:sz="0" w:val="nil"/>
          <w:bottom w:space="0" w:sz="0" w:val="nil"/>
          <w:right w:space="0" w:sz="0" w:val="nil"/>
          <w:between w:space="0" w:sz="0" w:val="nil"/>
        </w:pBdr>
        <w:rPr>
          <w:color w:val="000000"/>
        </w:rPr>
      </w:pPr>
      <w:r w:rsidDel="00000000" w:rsidR="00000000" w:rsidRPr="00000000">
        <w:rPr>
          <w:color w:val="808080"/>
          <w:rtl w:val="0"/>
        </w:rPr>
        <w:t xml:space="preserve">N/A</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RECOMMENDATION:</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color w:val="000000"/>
          <w:rtl w:val="0"/>
        </w:rPr>
        <w:t xml:space="preserve">I recommend the Board approve this contract between Boone County Schools and </w:t>
      </w:r>
      <w:r w:rsidDel="00000000" w:rsidR="00000000" w:rsidRPr="00000000">
        <w:rPr>
          <w:rFonts w:ascii="Calibri" w:cs="Calibri" w:eastAsia="Calibri" w:hAnsi="Calibri"/>
          <w:rtl w:val="0"/>
        </w:rPr>
        <w:t xml:space="preserve">Newsela</w:t>
      </w:r>
      <w:r w:rsidDel="00000000" w:rsidR="00000000" w:rsidRPr="00000000">
        <w:rPr>
          <w:rFonts w:ascii="Calibri" w:cs="Calibri" w:eastAsia="Calibri" w:hAnsi="Calibri"/>
          <w:color w:val="000000"/>
          <w:rtl w:val="0"/>
        </w:rPr>
        <w:t xml:space="preserve"> as presented.</w:t>
      </w:r>
      <w:r w:rsidDel="00000000" w:rsidR="00000000" w:rsidRPr="00000000">
        <w:rPr>
          <w:rtl w:val="0"/>
        </w:rPr>
      </w:r>
    </w:p>
    <w:p w:rsidR="00000000" w:rsidDel="00000000" w:rsidP="00000000" w:rsidRDefault="00000000" w:rsidRPr="00000000" w14:paraId="00000020">
      <w:pPr>
        <w:rPr>
          <w:sz w:val="12"/>
          <w:szCs w:val="12"/>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Calibri" w:cs="Calibri" w:eastAsia="Calibri" w:hAnsi="Calibri"/>
          <w:color w:val="000000"/>
          <w:rtl w:val="0"/>
        </w:rPr>
        <w:t xml:space="preserve">Dr. Jim Detwiler, Deputy Superintendent /CAO</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CONTACT PERSON: (submitter)</w:t>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Kyle Berberich, Director of Technology</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0"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color w:val="000000"/>
        <w:sz w:val="16"/>
        <w:szCs w:val="16"/>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-104773</wp:posOffset>
          </wp:positionV>
          <wp:extent cx="2566670" cy="8001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9">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Ms. Karen Byrd</w:t>
      <w:tab/>
      <w:tab/>
    </w:r>
  </w:p>
  <w:p w:rsidR="00000000" w:rsidDel="00000000" w:rsidP="00000000" w:rsidRDefault="00000000" w:rsidRPr="00000000" w14:paraId="0000002A">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Ms. Julie Maddox</w:t>
    </w:r>
  </w:p>
  <w:p w:rsidR="00000000" w:rsidDel="00000000" w:rsidP="00000000" w:rsidRDefault="00000000" w:rsidRPr="00000000" w14:paraId="0000002B">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Mr. Jesse Parks</w:t>
    </w:r>
  </w:p>
  <w:p w:rsidR="00000000" w:rsidDel="00000000" w:rsidP="00000000" w:rsidRDefault="00000000" w:rsidRPr="00000000" w14:paraId="0000002C">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Mrs. Carolyn Wolfe</w:t>
      <w:tab/>
    </w:r>
    <w:r w:rsidDel="00000000" w:rsidR="00000000" w:rsidRPr="00000000">
      <w:rPr>
        <w:b w:val="1"/>
        <w:bCs w:val="1"/>
        <w:color w:val="000000"/>
        <w:sz w:val="22"/>
        <w:szCs w:val="22"/>
        <w:rtl w:val="0"/>
      </w:rPr>
      <w:tab/>
      <w:tab/>
    </w:r>
    <w:r w:rsidDel="00000000" w:rsidR="00000000" w:rsidRPr="00000000">
      <w:rPr>
        <w:b w:val="1"/>
        <w:bCs w:val="1"/>
        <w:color w:val="000000"/>
        <w:sz w:val="20"/>
        <w:szCs w:val="20"/>
        <w:rtl w:val="0"/>
      </w:rPr>
      <w:t xml:space="preserve">     </w:t>
      <w:tab/>
      <w:t xml:space="preserve"> </w:t>
      <w:tab/>
      <w:tab/>
      <w:tab/>
    </w:r>
  </w:p>
  <w:p w:rsidR="00000000" w:rsidDel="00000000" w:rsidP="00000000" w:rsidRDefault="00000000" w:rsidRPr="00000000" w14:paraId="0000002D">
    <w:pPr>
      <w:pBdr>
        <w:top w:space="0" w:sz="0" w:val="nil"/>
        <w:left w:space="0" w:sz="0" w:val="nil"/>
        <w:bottom w:space="0" w:sz="0" w:val="nil"/>
        <w:right w:space="0" w:sz="0" w:val="nil"/>
        <w:between w:space="0" w:sz="0" w:val="nil"/>
      </w:pBdr>
      <w:rPr>
        <w:color w:val="1f497d"/>
        <w:sz w:val="20"/>
        <w:szCs w:val="20"/>
      </w:rPr>
    </w:pPr>
    <w:r w:rsidDel="00000000" w:rsidR="00000000" w:rsidRPr="00000000">
      <w:rPr>
        <w:b w:val="1"/>
        <w:bCs w:val="1"/>
        <w:color w:val="000000"/>
        <w:sz w:val="20"/>
        <w:szCs w:val="20"/>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E">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320"/>
        <w:tab w:val="right" w:leader="none" w:pos="8640"/>
      </w:tabs>
      <w:ind w:left="2880" w:hanging="3600"/>
      <w:rPr>
        <w:b w:val="1"/>
        <w:bCs w:val="1"/>
        <w:color w:val="800000"/>
        <w:sz w:val="20"/>
        <w:szCs w:val="20"/>
      </w:rPr>
    </w:pPr>
    <w:r w:rsidDel="00000000" w:rsidR="00000000" w:rsidRPr="00000000">
      <w:rPr>
        <w:b w:val="1"/>
        <w:bCs w:val="1"/>
        <w:color w:val="6f191e"/>
        <w:sz w:val="20"/>
        <w:szCs w:val="20"/>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-260348</wp:posOffset>
              </wp:positionH>
              <wp:positionV relativeFrom="paragraph">
                <wp:posOffset>50800</wp:posOffset>
              </wp:positionV>
              <wp:extent cx="12700" cy="12700"/>
              <wp:effectExtent b="0" l="0" r="0" t="0"/>
              <wp:wrapNone/>
              <wp:docPr id="1"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-260348</wp:posOffset>
              </wp:positionH>
              <wp:positionV relativeFrom="paragraph">
                <wp:posOffset>50800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270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edqD6Jds6ZO/FDx5U/BScDhfuw==">CgMxLjA4AHIhMXdRZUZvSWpmeHI4RjhMLUlGVUJWWnNnakZfSmxRWnhM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a89e4e566fdb44905d7a5be8422333c9a3f5830440d4895e5bddf8b78a1eaea3</vt:lpwstr>
  </property>
</Properties>
</file>