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6/11/2026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Boone County Schools;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EES, LBES, RAJMS, TES, YES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Lexia Learning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Lexia Core 5, Lexia PowerU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July 1, 2026 - June 30, 2027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80808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Lexia is a technology-driven literacy program designed for students in grades Pre-K through 12. It offers personalized, adaptive learning paths across six key areas of reading: phonological awareness, phonics, structural analysis, automaticity/fluency, vocabulary, and comprehension. The program utilizes a three-step adaptive blended learning model that combines online student-driven activities with teacher-led instruction, ensuring that each student receives the appropriate level of support. The product provides educators with real-time, actionable data without interrupting instruction for traditional assessments. This allows teachers to monitor progress and tailor instruction effectively.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Total Cost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$43,000.67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Funding Source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Various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General Student Fees: $22,100.00 / SBDM: $11,050.00 / Title 1: $9,850.67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RECOMMENDATION: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recommend the Board approve this contract between Boone County Schools and Lexia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Jim Detwiler, Deputy Superintendent /CAO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CONTACT PERSON: (submitter)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Kyle Berberich,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0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Ms. Julie Maddox</w:t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Mr. Jesse Parks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Mrs. Carolyn Wolfe</w:t>
      <w:tab/>
    </w:r>
    <w:r w:rsidDel="00000000" w:rsidR="00000000" w:rsidRPr="00000000">
      <w:rPr>
        <w:b w:val="1"/>
        <w:bCs w:val="1"/>
        <w:color w:val="000000"/>
        <w:sz w:val="22"/>
        <w:szCs w:val="22"/>
        <w:rtl w:val="0"/>
      </w:rPr>
      <w:tab/>
      <w:tab/>
    </w: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1f497d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2880" w:hanging="3600"/>
      <w:rPr>
        <w:b w:val="1"/>
        <w:bCs w:val="1"/>
        <w:color w:val="800000"/>
        <w:sz w:val="20"/>
        <w:szCs w:val="20"/>
      </w:rPr>
    </w:pPr>
    <w:r w:rsidDel="00000000" w:rsidR="00000000" w:rsidRPr="00000000">
      <w:rPr>
        <w:b w:val="1"/>
        <w:bCs w:val="1"/>
        <w:color w:val="6f191e"/>
        <w:sz w:val="20"/>
        <w:szCs w:val="20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-260348</wp:posOffset>
              </wp:positionH>
              <wp:positionV relativeFrom="paragraph">
                <wp:posOffset>50800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-260348</wp:posOffset>
              </wp:positionH>
              <wp:positionV relativeFrom="paragraph">
                <wp:posOffset>50800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KJ3wMs6B0e1k/NYdPadMFZaJg==">CgMxLjA4AHIhMUJZb1p3a1E0bWZ4eHdPVV91UUptR09TYUZXYWtaNm9F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b072e1bda931edb0b380b29fb2156130bf4ab96a9121c4bdc9c2465311261a5d</vt:lpwstr>
  </property>
</Properties>
</file>