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6/11/2026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Boone County Schools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Instructure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Canvas LMS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July 1, 2026-June 30, 2027</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8.21 Strategic Plan Goal 4B-1: Boone County Schools will ensure all students will receive rigorous and engaging instruction via a guaranteed and viable curriculum in every classroom, every day.</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Canvas LMS is a flexible digital platform that supports K–12 public education by centralizing instruction, communication, and assessment. It helps teachers deliver content and track progress, gives students consistent access to learning materials, and provides school and district leaders with data to support instructional decisions—all aimed at enhancing broader goals, engagement, and learning outcomes.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$82,992.00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ind w:left="270" w:firstLine="0"/>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sz w:val="22"/>
          <w:szCs w:val="22"/>
          <w:rtl w:val="0"/>
        </w:rPr>
        <w:t xml:space="preserve">Various.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sz w:val="22"/>
          <w:szCs w:val="22"/>
        </w:rPr>
      </w:pPr>
      <w:r w:rsidDel="00000000" w:rsidR="00000000" w:rsidRPr="00000000">
        <w:rPr>
          <w:sz w:val="22"/>
          <w:szCs w:val="22"/>
          <w:rtl w:val="0"/>
        </w:rPr>
        <w:t xml:space="preserve">Ignite (Online Network Services)-$4,446.00 / District-(General Textbook )-$78,546.00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color w:val="808080"/>
          <w:rtl w:val="0"/>
        </w:rPr>
        <w:t xml:space="preserve">N/A</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recommend the Board approve this contract between Boone County Schools and Instructure as presented.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color w:val="000000"/>
          <w:rtl w:val="0"/>
        </w:rPr>
        <w:t xml:space="preserve">Dr. Jim Detwiler, Deputy Superintendent /CAO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Kyle Berberich, Director of Technology</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0">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7292975" cy="12700"/>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7292975"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29297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BGwgHT/3NH3w8Kad+HJAkIJBQ==">CgMxLjA4AHIhMUlpV3JxV3NuZGJYVlpFWVd3WTNrUV81dmxvazhCUW01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68784d04ad60b1aa2d2daba1f766205fa8576012a22277ef11f88053cd4eae20</vt:lpwstr>
  </property>
</Properties>
</file>