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6/11/2026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Flashlight Learning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Flashlight 360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7/1/2026 - 6/30/2027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8.21 Strategic Plan Goal 4B-1: Boone County Schools will ensure all students will receive rigorous and engaging instruction via a guaranteed and viable curriculum in every classroom, every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Flashlight360 is a speaking and writing progress monitoring tool with scoring and feedback that gives multilingual students an asset-based platform to showcase their full language capabilities — and provides the right-now, actionable data in five areas of speaking and three areas of writing.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$62,250.00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General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contract between Boone County Schools and Flashlight Learning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Jim Detwiler, Deputy Superintendent /CAO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Kyle Berberich, Director of Technology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92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TLDG+yLnduKiEBEQa+5HB0vi5A==">CgMxLjA4AHIhMUZHTWtxaVViR3BDdGdjUVhXbWxpbDlOWG9yOGZ5Z2F3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651d0ef0ed636fe4b3090ac3e0b2dc9c7c45c7ff04c52bbf41a4e87a834ea10e</vt:lpwstr>
  </property>
</Properties>
</file>