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w:t>
        <w:tab/>
        <w:t xml:space="preserve">        </w:t>
        <w:tab/>
        <w:tab/>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00000"/>
          <w:rtl w:val="0"/>
        </w:rPr>
        <w:t xml:space="preserve">/2026</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Everway</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Read&amp;Write</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July 1, 2026 - June 30, 2027</w:t>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80808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Read&amp;Write is a digital literacy support tool designed to empower students by making learning more accessible and effective. It assists with key tasks like reading aloud, understanding vocabulary, researching, and proofreading. With features such as text-to-speech, highlighters, voice notes, vocabulary builders, and audio file creation, Read&amp;Write helps students study more independently and achieve higher academic standards</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45,200.00</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Source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IDEA</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color w:val="808080"/>
          <w:sz w:val="22"/>
          <w:szCs w:val="22"/>
          <w:rtl w:val="0"/>
        </w:rPr>
        <w:t xml:space="preserve">N/A</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w:t>
      </w: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color w:val="808080"/>
          <w:rtl w:val="0"/>
        </w:rPr>
        <w:t xml:space="preserve"> N/A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I recommend the Board approve this contract between Boone County Schools and Everyway as presented.</w:t>
      </w: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CONTACT PERSON: (submitter)</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E">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-260348</wp:posOffset>
              </wp:positionH>
              <wp:positionV relativeFrom="paragraph">
                <wp:posOffset>50800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DzIbQ5rAGYBSsmwiKb2L5gWQ==">CgMxLjA4AHIhMURDRXZfSUNpU184N2tlMGg3Rm5ZWjNDaTRidUZGVlU1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b072e1bda931edb0b380b29fb2156130bf4ab96a9121c4bdc9c2465311261a5d</vt:lpwstr>
  </property>
</Properties>
</file>