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6/11/2026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Boone County Schools;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BCHS, BES, BMS, CEMS, CES, CMS, EES, FES, GES, GMS, KES, NPES, OES, OMS, RAJMS, Rise, SCES, SES, TES.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CharacterStrong LLC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CharacterStrong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July 1, 2026 - June 30, 2027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rtl w:val="0"/>
        </w:rPr>
        <w:t xml:space="preserve">8.21 Strategic Plan Goal 4B-1: Boone County Schools will ensure all students will receive rigorous and engaging instruction via a guaranteed and viable curriculum in every classroom, every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80808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CharacterStrong is a comprehensive, evidence-based program designed to help students develop the essential social-emotional skills and character traits needed for life-readiness. Through engaging curriculum and professional development resources, it equips educators to foster a positive school climate, support mental wellness, and build strong student-teacher relationships. CharacterStrong empowers schools to nurture responsible, resilient, and compassionate individuals prepared for success beyond the classroom.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$80,756.60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Various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SBDM: $21,686.90 / Title 1: $34,982.00 / Textbook: $22,088.70 / KETS: $1,999.00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recommend the Board approve this contract between Boone County Schools and CharacterStrong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Dr. Jim Detwiler, Deputy Superintendent /CAO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Kyle Berberich, Director of Technology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Board Memo V4.0 KE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-104771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Julie Maddox</w:t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Mr. Jesse Parks</w:t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Carolyn Wolfe</w:t>
      <w:tab/>
    </w: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ab/>
      <w:tab/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1f497d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left="2880" w:hanging="3600"/>
      <w:rPr>
        <w:b w:val="1"/>
        <w:bCs w:val="1"/>
        <w:color w:val="800000"/>
        <w:sz w:val="20"/>
        <w:szCs w:val="20"/>
      </w:rPr>
    </w:pPr>
    <w:r w:rsidDel="00000000" w:rsidR="00000000" w:rsidRPr="00000000">
      <w:rPr>
        <w:b w:val="1"/>
        <w:bCs w:val="1"/>
        <w:color w:val="6f191e"/>
        <w:sz w:val="20"/>
        <w:szCs w:val="20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-265109</wp:posOffset>
              </wp:positionH>
              <wp:positionV relativeFrom="paragraph">
                <wp:posOffset>46038</wp:posOffset>
              </wp:positionV>
              <wp:extent cx="22225" cy="222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-265109</wp:posOffset>
              </wp:positionH>
              <wp:positionV relativeFrom="paragraph">
                <wp:posOffset>46038</wp:posOffset>
              </wp:positionV>
              <wp:extent cx="22225" cy="222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tIHqsAraR0EfZxH/W57+yujEA==">CgMxLjA4AHIhMWVTWlBMcW1zbUVFSTZSTVRoeFlpd0dkTTRvYTh2eFYw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b072e1bda931edb0b380b29fb2156130bf4ab96a9121c4bdc9c2465311261a5d</vt:lpwstr>
  </property>
</Properties>
</file>