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6/11/2026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Schools;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BCHS, BES, BMS, CEMS, CES, CMS, EES, FES, GES, GMS, KES, NPES, OES, OMS, RAJMS, Rise, SCES, SES, TES.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CharacterStrong LLC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CharacterStrong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July 1, 2026 - June 30, 2027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434343"/>
        </w:rPr>
      </w:pP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CharacterStrong is a comprehensive, evidence-based program designed to help students develop the essential social-emotional skills and character traits needed for life-readiness. Through engaging curriculum and professional development resources, it equips educators to foster a positive school climate, support mental wellness, and build strong student-teacher relationships. CharacterStrong empowers schools to nurture responsible, resilient, and compassionate individuals prepared for success beyond the classroom.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$80,756.60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Various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SBDM: $21,686.90 / Title 1: $34,982.00 / Textbook: $22,088.70 / KETS: $1,999.00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this contract between Boone County Schools and CharacterStrong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-104771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Julie Maddox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Mr. Jesse Parks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bCs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bCs w:val="1"/>
        <w:color w:val="800000"/>
        <w:sz w:val="20"/>
        <w:szCs w:val="20"/>
      </w:rPr>
    </w:pPr>
    <w:r w:rsidDel="00000000" w:rsidR="00000000" w:rsidRPr="00000000">
      <w:rPr>
        <w:b w:val="1"/>
        <w:bCs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-265109</wp:posOffset>
              </wp:positionH>
              <wp:positionV relativeFrom="paragraph">
                <wp:posOffset>46038</wp:posOffset>
              </wp:positionV>
              <wp:extent cx="22225" cy="22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-265109</wp:posOffset>
              </wp:positionH>
              <wp:positionV relativeFrom="paragraph">
                <wp:posOffset>46038</wp:posOffset>
              </wp:positionV>
              <wp:extent cx="22225" cy="22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tIHqsAraR0EfZxH/W57+yujEA==">CgMxLjA4AHIhMWVTWlBMcW1zbUVFSTZSTVRoeFlpd0dkTTRvYTh2eFYw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