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6/11/2026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Education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St. Elizabeth Hospital Edgewood &amp; Easterseals Redwood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for Project 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ly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2026 – June 30, 2027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School’s Portrait of a Graduate will develop student graduates who embody and value the competencies of integrity, communication, collaboration, learner’s mindset, and global citizenship.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Memorandum Of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Understanding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enables us to implement Project SEARCH at the St. Elizabeth Edgewood, providing students with disabilities with training and experience to prepare them for competitive long-term employment.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Memorandum of Understanding between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St. Elizabeth Hospital Edgewood and Easterseals Redwood with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 &amp; KY Career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enter,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Sarah Graman, Director of Special Education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Gabrielle Hatfield, Assistant Director of Special Education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