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6/11/2026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Special Education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Commonwealth of KY, Education and Labor Cabinet, Office of Vocational Rehabilitation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Memorandum of </w:t>
      </w:r>
      <w:r w:rsidDel="00000000" w:rsidR="00000000" w:rsidRPr="00000000">
        <w:rPr>
          <w:rFonts w:ascii="Calibri" w:cs="Calibri" w:eastAsia="Calibri" w:hAnsi="Calibri"/>
          <w:rtl w:val="0"/>
        </w:rPr>
        <w:t xml:space="preserve">Agreement</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July 1, 2026 – June 30, 2027</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Boone County School’s Portrait of a Graduate will develop student graduates who embody and value the competencies of integrity, communication, collaboration, learner’s mindset, and global citizenship.</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Partnership through Boone County Schools, the Office of Vocational Rehabilitation and the University of Kentucky (HDI) for reimbursement for transition services provided through our Boone County Employment Specialists.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N/A</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Amount is awarded based on hours submitted for reimbursement to OVR from each employment </w:t>
      </w:r>
      <w:r w:rsidDel="00000000" w:rsidR="00000000" w:rsidRPr="00000000">
        <w:rPr>
          <w:rFonts w:ascii="Calibri" w:cs="Calibri" w:eastAsia="Calibri" w:hAnsi="Calibri"/>
          <w:rtl w:val="0"/>
        </w:rPr>
        <w:t xml:space="preserve">specialist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during monthly and quarterly billing cycles. Invoices submitted to OVR for reimbursement will be for both Pre Employment Transition Services (PRE ETS) and Individual Transition Services provided through the Community Work Transition Program.</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w:t>
      </w:r>
      <w:r w:rsidDel="00000000" w:rsidR="00000000" w:rsidRPr="00000000">
        <w:rPr>
          <w:rFonts w:ascii="Calibri" w:cs="Calibri" w:eastAsia="Calibri" w:hAnsi="Calibri"/>
          <w:rtl w:val="0"/>
        </w:rPr>
        <w:t xml:space="preserve">e Memorandum of Agreement between The Commonwealth of KY, Education and Labor Cabinet, Office of Vocational Rehabilitation and Boone County Schools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 presented.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Sarah Graman, Director of Special Education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Gabrielle Hatfield, Assistant Director of Special Education</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6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