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6/11/2026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Support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Services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Department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Refugee Connect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2026 - 2027 Memorandum of Understanding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Refugee Connect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July 1, 2026 - June 30,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 – Goal 3: Stakeholder Engagement. “Boone County Schools will increase and expand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community and business partnerships” (3B)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purpose of this MOU is to clearly identify the roles and responsibilities of the Boone County School District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Refugee Connect as they relate to the partnership between the two.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bfbfb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Understanding] between Boone County Schools and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Refugee Connect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 presented.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Alisa Alcock, EL Coordinator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2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0x010100F418DA63AEFF95468585FA334DF56452</vt:lpwstr>
  </property>
</Properties>
</file>