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Average" w:cs="Average" w:eastAsia="Average" w:hAnsi="Average"/>
        </w:rPr>
      </w:pPr>
      <w:r w:rsidDel="00000000" w:rsidR="00000000" w:rsidRPr="00000000">
        <w:rPr>
          <w:rFonts w:ascii="Average" w:cs="Average" w:eastAsia="Average" w:hAnsi="Average"/>
          <w:rtl w:val="0"/>
        </w:rPr>
        <w:t xml:space="preserve">Summary of Data:</w:t>
      </w:r>
    </w:p>
    <w:p w:rsidR="00000000" w:rsidDel="00000000" w:rsidP="00000000" w:rsidRDefault="00000000" w:rsidRPr="00000000" w14:paraId="00000002">
      <w:pPr>
        <w:rPr>
          <w:rFonts w:ascii="Average" w:cs="Average" w:eastAsia="Average" w:hAnsi="Average"/>
        </w:rPr>
      </w:pPr>
      <w:r w:rsidDel="00000000" w:rsidR="00000000" w:rsidRPr="00000000">
        <w:rPr>
          <w:rtl w:val="0"/>
        </w:rPr>
      </w:r>
    </w:p>
    <w:p w:rsidR="00000000" w:rsidDel="00000000" w:rsidP="00000000" w:rsidRDefault="00000000" w:rsidRPr="00000000" w14:paraId="00000003">
      <w:pPr>
        <w:rPr>
          <w:rFonts w:ascii="Average" w:cs="Average" w:eastAsia="Average" w:hAnsi="Average"/>
        </w:rPr>
      </w:pPr>
      <w:r w:rsidDel="00000000" w:rsidR="00000000" w:rsidRPr="00000000">
        <w:rPr>
          <w:rFonts w:ascii="Average" w:cs="Average" w:eastAsia="Average" w:hAnsi="Average"/>
          <w:rtl w:val="0"/>
        </w:rPr>
        <w:t xml:space="preserve">STAR:</w:t>
      </w:r>
    </w:p>
    <w:p w:rsidR="00000000" w:rsidDel="00000000" w:rsidP="00000000" w:rsidRDefault="00000000" w:rsidRPr="00000000" w14:paraId="00000004">
      <w:pPr>
        <w:numPr>
          <w:ilvl w:val="0"/>
          <w:numId w:val="2"/>
        </w:numPr>
        <w:spacing w:after="0" w:afterAutospacing="0" w:before="240" w:lineRule="auto"/>
        <w:ind w:left="720" w:hanging="360"/>
        <w:rPr>
          <w:rFonts w:ascii="Average" w:cs="Average" w:eastAsia="Average" w:hAnsi="Average"/>
        </w:rPr>
      </w:pPr>
      <w:r w:rsidDel="00000000" w:rsidR="00000000" w:rsidRPr="00000000">
        <w:rPr>
          <w:rFonts w:ascii="Average" w:cs="Average" w:eastAsia="Average" w:hAnsi="Average"/>
          <w:rtl w:val="0"/>
        </w:rPr>
        <w:t xml:space="preserve">Reduction in Novice percentages in most grade levels</w:t>
      </w:r>
    </w:p>
    <w:p w:rsidR="00000000" w:rsidDel="00000000" w:rsidP="00000000" w:rsidRDefault="00000000" w:rsidRPr="00000000" w14:paraId="00000005">
      <w:pPr>
        <w:numPr>
          <w:ilvl w:val="0"/>
          <w:numId w:val="2"/>
        </w:numPr>
        <w:spacing w:after="0" w:afterAutospacing="0" w:before="0" w:beforeAutospacing="0" w:lineRule="auto"/>
        <w:ind w:left="720" w:hanging="360"/>
        <w:rPr>
          <w:rFonts w:ascii="Average" w:cs="Average" w:eastAsia="Average" w:hAnsi="Average"/>
        </w:rPr>
      </w:pPr>
      <w:r w:rsidDel="00000000" w:rsidR="00000000" w:rsidRPr="00000000">
        <w:rPr>
          <w:rFonts w:ascii="Average" w:cs="Average" w:eastAsia="Average" w:hAnsi="Average"/>
          <w:rtl w:val="0"/>
        </w:rPr>
        <w:t xml:space="preserve">Growth in Proficient and Distinguished categories</w:t>
      </w:r>
    </w:p>
    <w:p w:rsidR="00000000" w:rsidDel="00000000" w:rsidP="00000000" w:rsidRDefault="00000000" w:rsidRPr="00000000" w14:paraId="00000006">
      <w:pPr>
        <w:numPr>
          <w:ilvl w:val="0"/>
          <w:numId w:val="2"/>
        </w:numPr>
        <w:spacing w:after="0" w:afterAutospacing="0" w:before="0" w:beforeAutospacing="0" w:lineRule="auto"/>
        <w:ind w:left="720" w:hanging="360"/>
        <w:rPr>
          <w:rFonts w:ascii="Average" w:cs="Average" w:eastAsia="Average" w:hAnsi="Average"/>
        </w:rPr>
      </w:pPr>
      <w:r w:rsidDel="00000000" w:rsidR="00000000" w:rsidRPr="00000000">
        <w:rPr>
          <w:rFonts w:ascii="Average" w:cs="Average" w:eastAsia="Average" w:hAnsi="Average"/>
          <w:rtl w:val="0"/>
        </w:rPr>
        <w:t xml:space="preserve">Reading performance generally stronger than math performance across the district</w:t>
      </w:r>
    </w:p>
    <w:p w:rsidR="00000000" w:rsidDel="00000000" w:rsidP="00000000" w:rsidRDefault="00000000" w:rsidRPr="00000000" w14:paraId="00000007">
      <w:pPr>
        <w:numPr>
          <w:ilvl w:val="0"/>
          <w:numId w:val="2"/>
        </w:numPr>
        <w:spacing w:after="0" w:afterAutospacing="0" w:before="0" w:beforeAutospacing="0" w:lineRule="auto"/>
        <w:ind w:left="720" w:hanging="360"/>
        <w:rPr>
          <w:rFonts w:ascii="Average" w:cs="Average" w:eastAsia="Average" w:hAnsi="Average"/>
        </w:rPr>
      </w:pPr>
      <w:r w:rsidDel="00000000" w:rsidR="00000000" w:rsidRPr="00000000">
        <w:rPr>
          <w:rFonts w:ascii="Average" w:cs="Average" w:eastAsia="Average" w:hAnsi="Average"/>
          <w:rtl w:val="0"/>
        </w:rPr>
        <w:t xml:space="preserve">The overall results show that students have grown in both reading and math from Fall STAR testing to Spring STAR Testing.  </w:t>
      </w:r>
    </w:p>
    <w:p w:rsidR="00000000" w:rsidDel="00000000" w:rsidP="00000000" w:rsidRDefault="00000000" w:rsidRPr="00000000" w14:paraId="00000008">
      <w:pPr>
        <w:numPr>
          <w:ilvl w:val="0"/>
          <w:numId w:val="2"/>
        </w:numPr>
        <w:spacing w:after="0" w:afterAutospacing="0" w:before="0" w:beforeAutospacing="0" w:lineRule="auto"/>
        <w:ind w:left="720" w:hanging="360"/>
        <w:rPr>
          <w:rFonts w:ascii="Average" w:cs="Average" w:eastAsia="Average" w:hAnsi="Average"/>
        </w:rPr>
      </w:pPr>
      <w:r w:rsidDel="00000000" w:rsidR="00000000" w:rsidRPr="00000000">
        <w:rPr>
          <w:rFonts w:ascii="Average" w:cs="Average" w:eastAsia="Average" w:hAnsi="Average"/>
          <w:rtl w:val="0"/>
        </w:rPr>
        <w:t xml:space="preserve">Why is this important: </w:t>
      </w:r>
    </w:p>
    <w:p w:rsidR="00000000" w:rsidDel="00000000" w:rsidP="00000000" w:rsidRDefault="00000000" w:rsidRPr="00000000" w14:paraId="00000009">
      <w:pPr>
        <w:numPr>
          <w:ilvl w:val="1"/>
          <w:numId w:val="2"/>
        </w:numPr>
        <w:spacing w:after="0" w:afterAutospacing="0" w:before="0" w:beforeAutospacing="0" w:lineRule="auto"/>
        <w:ind w:left="1440" w:hanging="360"/>
        <w:rPr>
          <w:rFonts w:ascii="Average" w:cs="Average" w:eastAsia="Average" w:hAnsi="Average"/>
        </w:rPr>
      </w:pPr>
      <w:r w:rsidDel="00000000" w:rsidR="00000000" w:rsidRPr="00000000">
        <w:rPr>
          <w:rFonts w:ascii="Average" w:cs="Average" w:eastAsia="Average" w:hAnsi="Average"/>
          <w:rtl w:val="0"/>
        </w:rPr>
        <w:t xml:space="preserve">Interventions/Enrichment are providing the academic support needed where students are demonstrating growth in reading and math</w:t>
      </w:r>
    </w:p>
    <w:p w:rsidR="00000000" w:rsidDel="00000000" w:rsidP="00000000" w:rsidRDefault="00000000" w:rsidRPr="00000000" w14:paraId="0000000A">
      <w:pPr>
        <w:numPr>
          <w:ilvl w:val="1"/>
          <w:numId w:val="2"/>
        </w:numPr>
        <w:spacing w:after="0" w:afterAutospacing="0" w:before="0" w:beforeAutospacing="0" w:lineRule="auto"/>
        <w:ind w:left="1440" w:hanging="360"/>
        <w:rPr>
          <w:rFonts w:ascii="Average" w:cs="Average" w:eastAsia="Average" w:hAnsi="Average"/>
        </w:rPr>
      </w:pPr>
      <w:r w:rsidDel="00000000" w:rsidR="00000000" w:rsidRPr="00000000">
        <w:rPr>
          <w:rFonts w:ascii="Average" w:cs="Average" w:eastAsia="Average" w:hAnsi="Average"/>
          <w:rtl w:val="0"/>
        </w:rPr>
        <w:t xml:space="preserve">Tier 1 instruction along with Tier II/III interventions are working--closing gaps and maintaining student progress</w:t>
      </w:r>
    </w:p>
    <w:p w:rsidR="00000000" w:rsidDel="00000000" w:rsidP="00000000" w:rsidRDefault="00000000" w:rsidRPr="00000000" w14:paraId="0000000B">
      <w:pPr>
        <w:numPr>
          <w:ilvl w:val="1"/>
          <w:numId w:val="2"/>
        </w:numPr>
        <w:spacing w:after="240" w:before="0" w:beforeAutospacing="0" w:lineRule="auto"/>
        <w:ind w:left="1440" w:hanging="360"/>
        <w:rPr>
          <w:u w:val="none"/>
        </w:rPr>
      </w:pPr>
      <w:r w:rsidDel="00000000" w:rsidR="00000000" w:rsidRPr="00000000">
        <w:rPr>
          <w:rFonts w:ascii="Average" w:cs="Average" w:eastAsia="Average" w:hAnsi="Average"/>
          <w:rtl w:val="0"/>
        </w:rPr>
        <w:t xml:space="preserve">Beginning in the 2026–2027 school year, "Change" is entirely replaced by individual student growth. Schools will now be evaluated based on the specific academic progress each individual student makes over the course of a single year in reading and mathematics.</w:t>
      </w:r>
      <w:r w:rsidDel="00000000" w:rsidR="00000000" w:rsidRPr="00000000">
        <w:rPr>
          <w:rtl w:val="0"/>
        </w:rPr>
        <w:t xml:space="preserve"> </w:t>
      </w:r>
    </w:p>
    <w:p w:rsidR="00000000" w:rsidDel="00000000" w:rsidP="00000000" w:rsidRDefault="00000000" w:rsidRPr="00000000" w14:paraId="0000000C">
      <w:pPr>
        <w:spacing w:after="240" w:before="240" w:lineRule="auto"/>
        <w:rPr>
          <w:rFonts w:ascii="Average" w:cs="Average" w:eastAsia="Average" w:hAnsi="Average"/>
        </w:rPr>
      </w:pPr>
      <w:r w:rsidDel="00000000" w:rsidR="00000000" w:rsidRPr="00000000">
        <w:rPr>
          <w:rFonts w:ascii="Average" w:cs="Average" w:eastAsia="Average" w:hAnsi="Average"/>
          <w:rtl w:val="0"/>
        </w:rPr>
        <w:t xml:space="preserve">SAT vs. ACT:</w:t>
      </w:r>
    </w:p>
    <w:p w:rsidR="00000000" w:rsidDel="00000000" w:rsidP="00000000" w:rsidRDefault="00000000" w:rsidRPr="00000000" w14:paraId="0000000D">
      <w:pPr>
        <w:spacing w:after="240" w:before="240" w:lineRule="auto"/>
        <w:rPr>
          <w:rFonts w:ascii="Average" w:cs="Average" w:eastAsia="Average" w:hAnsi="Average"/>
        </w:rPr>
      </w:pPr>
      <w:r w:rsidDel="00000000" w:rsidR="00000000" w:rsidRPr="00000000">
        <w:rPr>
          <w:rFonts w:ascii="Average" w:cs="Average" w:eastAsia="Average" w:hAnsi="Average"/>
          <w:rtl w:val="0"/>
        </w:rPr>
        <w:t xml:space="preserve">The SAT and ACT are both college entrance exams that measure how ready students are for college, but they are set up a little differently. The SAT, given by the College Board, focuses more on reading, writing, and math with an emphasis on problem-solving and reasoning, and it usually gives students a bit more time to work through each question. The SAT is an adaptive exam meaning the difficulty of some questions changes based on how a student performs on previous questions (similar to the STAR assessment we use for our universal screener/assessment).  The ACT, given by ACT, Inc., includes English, math, reading, and a science section, and it moves at a faster pace with more questions to answer in less time. </w:t>
      </w:r>
    </w:p>
    <w:p w:rsidR="00000000" w:rsidDel="00000000" w:rsidP="00000000" w:rsidRDefault="00000000" w:rsidRPr="00000000" w14:paraId="0000000E">
      <w:pPr>
        <w:spacing w:after="240" w:before="240" w:lineRule="auto"/>
        <w:rPr>
          <w:rFonts w:ascii="Average" w:cs="Average" w:eastAsia="Average" w:hAnsi="Average"/>
        </w:rPr>
      </w:pPr>
      <w:r w:rsidDel="00000000" w:rsidR="00000000" w:rsidRPr="00000000">
        <w:rPr>
          <w:rFonts w:ascii="Average" w:cs="Average" w:eastAsia="Average" w:hAnsi="Average"/>
          <w:b w:val="1"/>
          <w:bCs w:val="1"/>
          <w:rtl w:val="0"/>
        </w:rPr>
        <w:t xml:space="preserve">SAT:</w:t>
      </w:r>
      <w:r w:rsidDel="00000000" w:rsidR="00000000" w:rsidRPr="00000000">
        <w:rPr>
          <w:rFonts w:ascii="Average" w:cs="Average" w:eastAsia="Average" w:hAnsi="Average"/>
          <w:rtl w:val="0"/>
        </w:rPr>
        <w:t xml:space="preserve"> more emphasis on deeper reasoning and evidence-based analysis.  </w:t>
      </w:r>
      <w:r w:rsidDel="00000000" w:rsidR="00000000" w:rsidRPr="00000000">
        <w:rPr>
          <w:rFonts w:ascii="Average" w:cs="Average" w:eastAsia="Average" w:hAnsi="Average"/>
          <w:b w:val="1"/>
          <w:bCs w:val="1"/>
          <w:rtl w:val="0"/>
        </w:rPr>
        <w:t xml:space="preserve">ACT:</w:t>
      </w:r>
      <w:r w:rsidDel="00000000" w:rsidR="00000000" w:rsidRPr="00000000">
        <w:rPr>
          <w:rFonts w:ascii="Average" w:cs="Average" w:eastAsia="Average" w:hAnsi="Average"/>
          <w:rtl w:val="0"/>
        </w:rPr>
        <w:t xml:space="preserve"> more emphasis on quick, direct application of learned skills and interpreting information efficiently.</w:t>
      </w:r>
    </w:p>
    <w:p w:rsidR="00000000" w:rsidDel="00000000" w:rsidP="00000000" w:rsidRDefault="00000000" w:rsidRPr="00000000" w14:paraId="0000000F">
      <w:pPr>
        <w:spacing w:after="240" w:before="240" w:lineRule="auto"/>
        <w:rPr>
          <w:rFonts w:ascii="Average" w:cs="Average" w:eastAsia="Average" w:hAnsi="Average"/>
        </w:rPr>
      </w:pPr>
      <w:r w:rsidDel="00000000" w:rsidR="00000000" w:rsidRPr="00000000">
        <w:rPr>
          <w:rtl w:val="0"/>
        </w:rPr>
      </w:r>
    </w:p>
    <w:p w:rsidR="00000000" w:rsidDel="00000000" w:rsidP="00000000" w:rsidRDefault="00000000" w:rsidRPr="00000000" w14:paraId="00000010">
      <w:pPr>
        <w:spacing w:after="240" w:before="240" w:lineRule="auto"/>
        <w:rPr>
          <w:rFonts w:ascii="Average" w:cs="Average" w:eastAsia="Average" w:hAnsi="Average"/>
        </w:rPr>
      </w:pPr>
      <w:r w:rsidDel="00000000" w:rsidR="00000000" w:rsidRPr="00000000">
        <w:rPr>
          <w:rFonts w:ascii="Average" w:cs="Average" w:eastAsia="Average" w:hAnsi="Average"/>
          <w:rtl w:val="0"/>
        </w:rPr>
        <w:t xml:space="preserve">End-of-Program</w:t>
      </w:r>
    </w:p>
    <w:p w:rsidR="00000000" w:rsidDel="00000000" w:rsidP="00000000" w:rsidRDefault="00000000" w:rsidRPr="00000000" w14:paraId="00000011">
      <w:pPr>
        <w:spacing w:after="240" w:before="240" w:lineRule="auto"/>
        <w:rPr>
          <w:rFonts w:ascii="Average" w:cs="Average" w:eastAsia="Average" w:hAnsi="Average"/>
        </w:rPr>
      </w:pPr>
      <w:r w:rsidDel="00000000" w:rsidR="00000000" w:rsidRPr="00000000">
        <w:rPr>
          <w:rFonts w:ascii="Average" w:cs="Average" w:eastAsia="Average" w:hAnsi="Average"/>
          <w:rtl w:val="0"/>
        </w:rPr>
        <w:t xml:space="preserve">End-of-Program (EOP) exams in Career and Technical Education (CTE) are assessments given to CTE concentrators—students who have completed two or more courses within a specific career pathway. In our district, we administer these exams to all eligible students (typically sophomores through seniors) once they meet this requirement based on their transcripts.</w:t>
      </w:r>
    </w:p>
    <w:p w:rsidR="00000000" w:rsidDel="00000000" w:rsidP="00000000" w:rsidRDefault="00000000" w:rsidRPr="00000000" w14:paraId="00000012">
      <w:pPr>
        <w:spacing w:after="240" w:before="240" w:lineRule="auto"/>
        <w:rPr>
          <w:rFonts w:ascii="Average" w:cs="Average" w:eastAsia="Average" w:hAnsi="Average"/>
        </w:rPr>
      </w:pPr>
      <w:r w:rsidDel="00000000" w:rsidR="00000000" w:rsidRPr="00000000">
        <w:rPr>
          <w:rFonts w:ascii="Average" w:cs="Average" w:eastAsia="Average" w:hAnsi="Average"/>
          <w:rtl w:val="0"/>
        </w:rPr>
        <w:t xml:space="preserve">The purpose of the EOP exam is to measure students’ knowledge and skills in their chosen career area and provide a consistent, standards-based indicator of career readiness. We intentionally introduce students to EOP exams as soon as they qualify so they become familiar with the format, expectations, and testing process. This early exposure helps reduce test anxiety, builds confidence over time, and supports improved performance, so that by their senior year students are better prepared and more successful in demonstrating mastery of their career pathway skills.</w:t>
      </w:r>
    </w:p>
    <w:p w:rsidR="00000000" w:rsidDel="00000000" w:rsidP="00000000" w:rsidRDefault="00000000" w:rsidRPr="00000000" w14:paraId="00000013">
      <w:pPr>
        <w:spacing w:after="240" w:before="240" w:lineRule="auto"/>
        <w:rPr>
          <w:rFonts w:ascii="Average" w:cs="Average" w:eastAsia="Average" w:hAnsi="Average"/>
        </w:rPr>
      </w:pPr>
      <w:r w:rsidDel="00000000" w:rsidR="00000000" w:rsidRPr="00000000">
        <w:rPr>
          <w:rtl w:val="0"/>
        </w:rPr>
      </w:r>
    </w:p>
    <w:p w:rsidR="00000000" w:rsidDel="00000000" w:rsidP="00000000" w:rsidRDefault="00000000" w:rsidRPr="00000000" w14:paraId="00000014">
      <w:pPr>
        <w:spacing w:after="240" w:before="240" w:lineRule="auto"/>
        <w:rPr>
          <w:rFonts w:ascii="Average" w:cs="Average" w:eastAsia="Average" w:hAnsi="Average"/>
        </w:rPr>
      </w:pPr>
      <w:r w:rsidDel="00000000" w:rsidR="00000000" w:rsidRPr="00000000">
        <w:rPr>
          <w:rFonts w:ascii="Average" w:cs="Average" w:eastAsia="Average" w:hAnsi="Average"/>
          <w:rtl w:val="0"/>
        </w:rPr>
        <w:t xml:space="preserve">Industry Certifications</w:t>
      </w:r>
    </w:p>
    <w:p w:rsidR="00000000" w:rsidDel="00000000" w:rsidP="00000000" w:rsidRDefault="00000000" w:rsidRPr="00000000" w14:paraId="00000015">
      <w:pPr>
        <w:spacing w:after="240" w:before="240" w:lineRule="auto"/>
        <w:rPr>
          <w:rFonts w:ascii="Average" w:cs="Average" w:eastAsia="Average" w:hAnsi="Average"/>
        </w:rPr>
      </w:pPr>
      <w:r w:rsidDel="00000000" w:rsidR="00000000" w:rsidRPr="00000000">
        <w:rPr>
          <w:rFonts w:ascii="Average" w:cs="Average" w:eastAsia="Average" w:hAnsi="Average"/>
          <w:rtl w:val="0"/>
        </w:rPr>
        <w:t xml:space="preserve">Industry certification exams in CTE pathways are typically taken by students—most often juniors and seniors—after they have completed at least four courses in their program of study. These exams assess whether students have mastered the skills and knowledge required by industry standards, and successful completion results in an industry-recognized credential or certificate.</w:t>
      </w:r>
    </w:p>
    <w:p w:rsidR="00000000" w:rsidDel="00000000" w:rsidP="00000000" w:rsidRDefault="00000000" w:rsidRPr="00000000" w14:paraId="00000016">
      <w:pPr>
        <w:spacing w:after="240" w:before="240" w:lineRule="auto"/>
        <w:rPr>
          <w:rFonts w:ascii="Average" w:cs="Average" w:eastAsia="Average" w:hAnsi="Average"/>
        </w:rPr>
      </w:pPr>
      <w:r w:rsidDel="00000000" w:rsidR="00000000" w:rsidRPr="00000000">
        <w:rPr>
          <w:rFonts w:ascii="Average" w:cs="Average" w:eastAsia="Average" w:hAnsi="Average"/>
          <w:rtl w:val="0"/>
        </w:rPr>
        <w:t xml:space="preserve">These certifications are valuable because they can strengthen a student’s qualifications for future opportunities. They may help students:</w:t>
      </w:r>
    </w:p>
    <w:p w:rsidR="00000000" w:rsidDel="00000000" w:rsidP="00000000" w:rsidRDefault="00000000" w:rsidRPr="00000000" w14:paraId="00000017">
      <w:pPr>
        <w:numPr>
          <w:ilvl w:val="0"/>
          <w:numId w:val="1"/>
        </w:numPr>
        <w:spacing w:after="0" w:afterAutospacing="0" w:before="240" w:lineRule="auto"/>
        <w:ind w:left="720" w:hanging="360"/>
        <w:rPr>
          <w:rFonts w:ascii="Average" w:cs="Average" w:eastAsia="Average" w:hAnsi="Average"/>
        </w:rPr>
      </w:pPr>
      <w:r w:rsidDel="00000000" w:rsidR="00000000" w:rsidRPr="00000000">
        <w:rPr>
          <w:rFonts w:ascii="Average" w:cs="Average" w:eastAsia="Average" w:hAnsi="Average"/>
          <w:rtl w:val="0"/>
        </w:rPr>
        <w:t xml:space="preserve">Become more competitive when applying for entry-level jobs in their field</w:t>
      </w:r>
    </w:p>
    <w:p w:rsidR="00000000" w:rsidDel="00000000" w:rsidP="00000000" w:rsidRDefault="00000000" w:rsidRPr="00000000" w14:paraId="00000018">
      <w:pPr>
        <w:numPr>
          <w:ilvl w:val="0"/>
          <w:numId w:val="1"/>
        </w:numPr>
        <w:spacing w:after="0" w:afterAutospacing="0" w:before="0" w:beforeAutospacing="0" w:lineRule="auto"/>
        <w:ind w:left="720" w:hanging="360"/>
        <w:rPr>
          <w:rFonts w:ascii="Average" w:cs="Average" w:eastAsia="Average" w:hAnsi="Average"/>
        </w:rPr>
      </w:pPr>
      <w:r w:rsidDel="00000000" w:rsidR="00000000" w:rsidRPr="00000000">
        <w:rPr>
          <w:rFonts w:ascii="Average" w:cs="Average" w:eastAsia="Average" w:hAnsi="Average"/>
          <w:rtl w:val="0"/>
        </w:rPr>
        <w:t xml:space="preserve">Qualify for better job opportunities or higher starting wages</w:t>
      </w:r>
    </w:p>
    <w:p w:rsidR="00000000" w:rsidDel="00000000" w:rsidP="00000000" w:rsidRDefault="00000000" w:rsidRPr="00000000" w14:paraId="00000019">
      <w:pPr>
        <w:numPr>
          <w:ilvl w:val="0"/>
          <w:numId w:val="1"/>
        </w:numPr>
        <w:spacing w:after="0" w:afterAutospacing="0" w:before="0" w:beforeAutospacing="0" w:lineRule="auto"/>
        <w:ind w:left="720" w:hanging="360"/>
        <w:rPr>
          <w:rFonts w:ascii="Average" w:cs="Average" w:eastAsia="Average" w:hAnsi="Average"/>
        </w:rPr>
      </w:pPr>
      <w:r w:rsidDel="00000000" w:rsidR="00000000" w:rsidRPr="00000000">
        <w:rPr>
          <w:rFonts w:ascii="Average" w:cs="Average" w:eastAsia="Average" w:hAnsi="Average"/>
          <w:rtl w:val="0"/>
        </w:rPr>
        <w:t xml:space="preserve">Demonstrate job-ready skills to employers</w:t>
      </w:r>
    </w:p>
    <w:p w:rsidR="00000000" w:rsidDel="00000000" w:rsidP="00000000" w:rsidRDefault="00000000" w:rsidRPr="00000000" w14:paraId="0000001A">
      <w:pPr>
        <w:numPr>
          <w:ilvl w:val="0"/>
          <w:numId w:val="1"/>
        </w:numPr>
        <w:spacing w:after="0" w:afterAutospacing="0" w:before="0" w:beforeAutospacing="0" w:lineRule="auto"/>
        <w:ind w:left="720" w:hanging="360"/>
        <w:rPr>
          <w:rFonts w:ascii="Average" w:cs="Average" w:eastAsia="Average" w:hAnsi="Average"/>
        </w:rPr>
      </w:pPr>
      <w:r w:rsidDel="00000000" w:rsidR="00000000" w:rsidRPr="00000000">
        <w:rPr>
          <w:rFonts w:ascii="Average" w:cs="Average" w:eastAsia="Average" w:hAnsi="Average"/>
          <w:rtl w:val="0"/>
        </w:rPr>
        <w:t xml:space="preserve">Support college and technical program applications, especially in related fields</w:t>
      </w:r>
    </w:p>
    <w:p w:rsidR="00000000" w:rsidDel="00000000" w:rsidP="00000000" w:rsidRDefault="00000000" w:rsidRPr="00000000" w14:paraId="0000001B">
      <w:pPr>
        <w:numPr>
          <w:ilvl w:val="0"/>
          <w:numId w:val="1"/>
        </w:numPr>
        <w:spacing w:after="240" w:before="0" w:beforeAutospacing="0" w:lineRule="auto"/>
        <w:ind w:left="720" w:hanging="360"/>
        <w:rPr>
          <w:rFonts w:ascii="Average" w:cs="Average" w:eastAsia="Average" w:hAnsi="Average"/>
        </w:rPr>
      </w:pPr>
      <w:r w:rsidDel="00000000" w:rsidR="00000000" w:rsidRPr="00000000">
        <w:rPr>
          <w:rFonts w:ascii="Average" w:cs="Average" w:eastAsia="Average" w:hAnsi="Average"/>
          <w:rtl w:val="0"/>
        </w:rPr>
        <w:t xml:space="preserve">Reduce the need for some introductory training or coursework after graduation</w:t>
      </w:r>
    </w:p>
    <w:p w:rsidR="00000000" w:rsidDel="00000000" w:rsidP="00000000" w:rsidRDefault="00000000" w:rsidRPr="00000000" w14:paraId="0000001C">
      <w:pPr>
        <w:spacing w:after="240" w:before="240" w:lineRule="auto"/>
        <w:rPr>
          <w:rFonts w:ascii="Average" w:cs="Average" w:eastAsia="Average" w:hAnsi="Average"/>
        </w:rPr>
      </w:pPr>
      <w:r w:rsidDel="00000000" w:rsidR="00000000" w:rsidRPr="00000000">
        <w:rPr>
          <w:rtl w:val="0"/>
        </w:rPr>
      </w:r>
    </w:p>
    <w:p w:rsidR="00000000" w:rsidDel="00000000" w:rsidP="00000000" w:rsidRDefault="00000000" w:rsidRPr="00000000" w14:paraId="0000001D">
      <w:pPr>
        <w:spacing w:after="240" w:before="240" w:lineRule="auto"/>
        <w:rPr>
          <w:rFonts w:ascii="Average" w:cs="Average" w:eastAsia="Average" w:hAnsi="Average"/>
        </w:rPr>
      </w:pPr>
      <w:r w:rsidDel="00000000" w:rsidR="00000000" w:rsidRPr="00000000">
        <w:rPr>
          <w:rFonts w:ascii="Average" w:cs="Average" w:eastAsia="Average" w:hAnsi="Average"/>
          <w:rtl w:val="0"/>
        </w:rPr>
        <w:t xml:space="preserve">ACCESS Testing</w:t>
      </w:r>
    </w:p>
    <w:p w:rsidR="00000000" w:rsidDel="00000000" w:rsidP="00000000" w:rsidRDefault="00000000" w:rsidRPr="00000000" w14:paraId="0000001E">
      <w:pPr>
        <w:spacing w:after="240" w:before="240" w:lineRule="auto"/>
        <w:rPr>
          <w:rFonts w:ascii="Average" w:cs="Average" w:eastAsia="Average" w:hAnsi="Average"/>
        </w:rPr>
      </w:pPr>
      <w:r w:rsidDel="00000000" w:rsidR="00000000" w:rsidRPr="00000000">
        <w:rPr>
          <w:rFonts w:ascii="Average" w:cs="Average" w:eastAsia="Average" w:hAnsi="Average"/>
          <w:rtl w:val="0"/>
        </w:rPr>
        <w:t xml:space="preserve">ACCESS for ELLs (WIDA) is the annual English language proficiency assessment given to students identified as English learners in Kentucky. It measures growth in four domains—listening, speaking, reading, and writing—and provides an overall proficiency score on a scale from 1.0 to 6.0.</w:t>
      </w:r>
    </w:p>
    <w:p w:rsidR="00000000" w:rsidDel="00000000" w:rsidP="00000000" w:rsidRDefault="00000000" w:rsidRPr="00000000" w14:paraId="0000001F">
      <w:pPr>
        <w:spacing w:after="240" w:before="240" w:lineRule="auto"/>
        <w:rPr>
          <w:rFonts w:ascii="Average" w:cs="Average" w:eastAsia="Average" w:hAnsi="Average"/>
        </w:rPr>
      </w:pPr>
      <w:r w:rsidDel="00000000" w:rsidR="00000000" w:rsidRPr="00000000">
        <w:rPr>
          <w:rFonts w:ascii="Average" w:cs="Average" w:eastAsia="Average" w:hAnsi="Average"/>
          <w:rtl w:val="0"/>
        </w:rPr>
        <w:t xml:space="preserve">For Kentucky accountability, student progress is measured by year-to-year growth in proficiency levels, with a key benchmark being 0.5 or more growth in the overall composite score, which indicates strong progress in English language development. This growth expectation helps ensure students are steadily advancing toward full academic language proficiency.</w:t>
      </w:r>
    </w:p>
    <w:p w:rsidR="00000000" w:rsidDel="00000000" w:rsidP="00000000" w:rsidRDefault="00000000" w:rsidRPr="00000000" w14:paraId="00000020">
      <w:pPr>
        <w:spacing w:after="240" w:before="240" w:lineRule="auto"/>
        <w:rPr>
          <w:rFonts w:ascii="Average" w:cs="Average" w:eastAsia="Average" w:hAnsi="Average"/>
        </w:rPr>
      </w:pPr>
      <w:r w:rsidDel="00000000" w:rsidR="00000000" w:rsidRPr="00000000">
        <w:rPr>
          <w:rFonts w:ascii="Average" w:cs="Average" w:eastAsia="Average" w:hAnsi="Average"/>
          <w:rtl w:val="0"/>
        </w:rPr>
        <w:t xml:space="preserve">Students may exit (or “test out”) of the English learner program when they reach an overall composite proficiency level of 4.5 or higher, along with meeting other state criteria. At that point, they are considered sufficiently proficient in English to participate in mainstream instruction without language support services, although they are still monitored for continued academic success after exiting the program.</w:t>
      </w:r>
    </w:p>
    <w:p w:rsidR="00000000" w:rsidDel="00000000" w:rsidP="00000000" w:rsidRDefault="00000000" w:rsidRPr="00000000" w14:paraId="00000021">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verage">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verag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