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Average" w:cs="Average" w:eastAsia="Average" w:hAnsi="Average"/>
        </w:rPr>
      </w:pPr>
      <w:r w:rsidDel="00000000" w:rsidR="00000000" w:rsidRPr="00000000">
        <w:rPr>
          <w:rFonts w:ascii="Average" w:cs="Average" w:eastAsia="Average" w:hAnsi="Average"/>
          <w:rtl w:val="0"/>
        </w:rPr>
        <w:t xml:space="preserve">Summary of Data:</w:t>
      </w:r>
    </w:p>
    <w:p w:rsidR="00000000" w:rsidDel="00000000" w:rsidP="00000000" w:rsidRDefault="00000000" w:rsidRPr="00000000" w14:paraId="00000002">
      <w:pPr>
        <w:rPr>
          <w:rFonts w:ascii="Average" w:cs="Average" w:eastAsia="Average" w:hAnsi="Average"/>
        </w:rPr>
      </w:pPr>
      <w:r w:rsidDel="00000000" w:rsidR="00000000" w:rsidRPr="00000000">
        <w:rPr>
          <w:rtl w:val="0"/>
        </w:rPr>
      </w:r>
    </w:p>
    <w:p w:rsidR="00000000" w:rsidDel="00000000" w:rsidP="00000000" w:rsidRDefault="00000000" w:rsidRPr="00000000" w14:paraId="00000003">
      <w:pPr>
        <w:rPr>
          <w:rFonts w:ascii="Average" w:cs="Average" w:eastAsia="Average" w:hAnsi="Average"/>
        </w:rPr>
      </w:pPr>
      <w:r w:rsidDel="00000000" w:rsidR="00000000" w:rsidRPr="00000000">
        <w:rPr>
          <w:rFonts w:ascii="Average" w:cs="Average" w:eastAsia="Average" w:hAnsi="Average"/>
          <w:rtl w:val="0"/>
        </w:rPr>
        <w:t xml:space="preserve">STAR:</w:t>
      </w:r>
    </w:p>
    <w:p w:rsidR="00000000" w:rsidDel="00000000" w:rsidP="00000000" w:rsidRDefault="00000000" w:rsidRPr="00000000" w14:paraId="00000004">
      <w:pPr>
        <w:numPr>
          <w:ilvl w:val="0"/>
          <w:numId w:val="2"/>
        </w:numPr>
        <w:spacing w:after="0" w:afterAutospacing="0" w:before="240" w:lineRule="auto"/>
        <w:ind w:left="720" w:hanging="360"/>
        <w:rPr>
          <w:rFonts w:ascii="Average" w:cs="Average" w:eastAsia="Average" w:hAnsi="Average"/>
        </w:rPr>
      </w:pPr>
      <w:r w:rsidDel="00000000" w:rsidR="00000000" w:rsidRPr="00000000">
        <w:rPr>
          <w:rFonts w:ascii="Average" w:cs="Average" w:eastAsia="Average" w:hAnsi="Average"/>
          <w:rtl w:val="0"/>
        </w:rPr>
        <w:t xml:space="preserve">Reduction in Novice percentages in most grade levels</w:t>
      </w:r>
    </w:p>
    <w:p w:rsidR="00000000" w:rsidDel="00000000" w:rsidP="00000000" w:rsidRDefault="00000000" w:rsidRPr="00000000" w14:paraId="00000005">
      <w:pPr>
        <w:numPr>
          <w:ilvl w:val="0"/>
          <w:numId w:val="2"/>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Growth in Proficient and Distinguished categories</w:t>
      </w:r>
    </w:p>
    <w:p w:rsidR="00000000" w:rsidDel="00000000" w:rsidP="00000000" w:rsidRDefault="00000000" w:rsidRPr="00000000" w14:paraId="00000006">
      <w:pPr>
        <w:numPr>
          <w:ilvl w:val="0"/>
          <w:numId w:val="2"/>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Reading performance generally stronger than math performance across the district</w:t>
      </w:r>
    </w:p>
    <w:p w:rsidR="00000000" w:rsidDel="00000000" w:rsidP="00000000" w:rsidRDefault="00000000" w:rsidRPr="00000000" w14:paraId="00000007">
      <w:pPr>
        <w:numPr>
          <w:ilvl w:val="0"/>
          <w:numId w:val="2"/>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The overall results show that students have grown in both reading and math from Fall STAR testing to Spring STAR Testing.  </w:t>
      </w:r>
    </w:p>
    <w:p w:rsidR="00000000" w:rsidDel="00000000" w:rsidP="00000000" w:rsidRDefault="00000000" w:rsidRPr="00000000" w14:paraId="00000008">
      <w:pPr>
        <w:numPr>
          <w:ilvl w:val="0"/>
          <w:numId w:val="2"/>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Why is this important: </w:t>
      </w:r>
    </w:p>
    <w:p w:rsidR="00000000" w:rsidDel="00000000" w:rsidP="00000000" w:rsidRDefault="00000000" w:rsidRPr="00000000" w14:paraId="00000009">
      <w:pPr>
        <w:numPr>
          <w:ilvl w:val="1"/>
          <w:numId w:val="2"/>
        </w:numPr>
        <w:spacing w:after="0" w:afterAutospacing="0" w:before="0" w:beforeAutospacing="0" w:lineRule="auto"/>
        <w:ind w:left="1440" w:hanging="360"/>
        <w:rPr>
          <w:rFonts w:ascii="Average" w:cs="Average" w:eastAsia="Average" w:hAnsi="Average"/>
        </w:rPr>
      </w:pPr>
      <w:r w:rsidDel="00000000" w:rsidR="00000000" w:rsidRPr="00000000">
        <w:rPr>
          <w:rFonts w:ascii="Average" w:cs="Average" w:eastAsia="Average" w:hAnsi="Average"/>
          <w:rtl w:val="0"/>
        </w:rPr>
        <w:t xml:space="preserve">Interventions/Enrichment are providing the academic support needed where students are demonstrating growth in reading and math</w:t>
      </w:r>
    </w:p>
    <w:p w:rsidR="00000000" w:rsidDel="00000000" w:rsidP="00000000" w:rsidRDefault="00000000" w:rsidRPr="00000000" w14:paraId="0000000A">
      <w:pPr>
        <w:numPr>
          <w:ilvl w:val="1"/>
          <w:numId w:val="2"/>
        </w:numPr>
        <w:spacing w:after="0" w:afterAutospacing="0" w:before="0" w:beforeAutospacing="0" w:lineRule="auto"/>
        <w:ind w:left="1440" w:hanging="360"/>
        <w:rPr>
          <w:rFonts w:ascii="Average" w:cs="Average" w:eastAsia="Average" w:hAnsi="Average"/>
        </w:rPr>
      </w:pPr>
      <w:r w:rsidDel="00000000" w:rsidR="00000000" w:rsidRPr="00000000">
        <w:rPr>
          <w:rFonts w:ascii="Average" w:cs="Average" w:eastAsia="Average" w:hAnsi="Average"/>
          <w:rtl w:val="0"/>
        </w:rPr>
        <w:t xml:space="preserve">Tier 1 instruction along with Tier II/III interventions are working--closing gaps and maintaining student progress</w:t>
      </w:r>
    </w:p>
    <w:p w:rsidR="00000000" w:rsidDel="00000000" w:rsidP="00000000" w:rsidRDefault="00000000" w:rsidRPr="00000000" w14:paraId="0000000B">
      <w:pPr>
        <w:numPr>
          <w:ilvl w:val="1"/>
          <w:numId w:val="2"/>
        </w:numPr>
        <w:spacing w:after="240" w:before="0" w:beforeAutospacing="0" w:lineRule="auto"/>
        <w:ind w:left="1440" w:hanging="360"/>
        <w:rPr>
          <w:u w:val="none"/>
        </w:rPr>
      </w:pPr>
      <w:r w:rsidDel="00000000" w:rsidR="00000000" w:rsidRPr="00000000">
        <w:rPr>
          <w:rFonts w:ascii="Average" w:cs="Average" w:eastAsia="Average" w:hAnsi="Average"/>
          <w:rtl w:val="0"/>
        </w:rPr>
        <w:t xml:space="preserve">Beginning in the 2026–2027 school year, "Change" is entirely replaced by individual student growth. Schools will now be evaluated based on the specific academic progress each individual student makes over the course of a single year in reading and mathematics.</w:t>
      </w:r>
      <w:r w:rsidDel="00000000" w:rsidR="00000000" w:rsidRPr="00000000">
        <w:rPr>
          <w:rtl w:val="0"/>
        </w:rPr>
        <w:t xml:space="preserve"> </w:t>
      </w:r>
    </w:p>
    <w:p w:rsidR="00000000" w:rsidDel="00000000" w:rsidP="00000000" w:rsidRDefault="00000000" w:rsidRPr="00000000" w14:paraId="0000000C">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SAT vs. ACT:</w:t>
      </w:r>
    </w:p>
    <w:p w:rsidR="00000000" w:rsidDel="00000000" w:rsidP="00000000" w:rsidRDefault="00000000" w:rsidRPr="00000000" w14:paraId="0000000D">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The SAT and ACT are both college entrance exams that measure how ready students are for college, but they are set up a little differently. The SAT, given by the College Board, focuses more on reading, writing, and math with an emphasis on problem-solving and reasoning, and it usually gives students a bit more time to work through each question. The SAT is an adaptive exam meaning the difficulty of some questions changes based on how a student performs on previous questions (similar to the STAR assessment we use for our universal screener/assessment).  The ACT, given by ACT, Inc., includes English, math, reading, and a science section, and it moves at a faster pace with more questions to answer in less time. </w:t>
      </w:r>
    </w:p>
    <w:p w:rsidR="00000000" w:rsidDel="00000000" w:rsidP="00000000" w:rsidRDefault="00000000" w:rsidRPr="00000000" w14:paraId="0000000E">
      <w:pPr>
        <w:spacing w:after="240" w:before="240" w:lineRule="auto"/>
        <w:rPr>
          <w:rFonts w:ascii="Average" w:cs="Average" w:eastAsia="Average" w:hAnsi="Average"/>
        </w:rPr>
      </w:pPr>
      <w:r w:rsidDel="00000000" w:rsidR="00000000" w:rsidRPr="00000000">
        <w:rPr>
          <w:rFonts w:ascii="Average" w:cs="Average" w:eastAsia="Average" w:hAnsi="Average"/>
          <w:b w:val="1"/>
          <w:bCs w:val="1"/>
          <w:rtl w:val="0"/>
        </w:rPr>
        <w:t xml:space="preserve">SAT:</w:t>
      </w:r>
      <w:r w:rsidDel="00000000" w:rsidR="00000000" w:rsidRPr="00000000">
        <w:rPr>
          <w:rFonts w:ascii="Average" w:cs="Average" w:eastAsia="Average" w:hAnsi="Average"/>
          <w:rtl w:val="0"/>
        </w:rPr>
        <w:t xml:space="preserve"> more emphasis on deeper reasoning and evidence-based analysis.  </w:t>
      </w:r>
      <w:r w:rsidDel="00000000" w:rsidR="00000000" w:rsidRPr="00000000">
        <w:rPr>
          <w:rFonts w:ascii="Average" w:cs="Average" w:eastAsia="Average" w:hAnsi="Average"/>
          <w:b w:val="1"/>
          <w:bCs w:val="1"/>
          <w:rtl w:val="0"/>
        </w:rPr>
        <w:t xml:space="preserve">ACT:</w:t>
      </w:r>
      <w:r w:rsidDel="00000000" w:rsidR="00000000" w:rsidRPr="00000000">
        <w:rPr>
          <w:rFonts w:ascii="Average" w:cs="Average" w:eastAsia="Average" w:hAnsi="Average"/>
          <w:rtl w:val="0"/>
        </w:rPr>
        <w:t xml:space="preserve"> more emphasis on quick, direct application of learned skills and interpreting information efficiently.</w:t>
      </w:r>
    </w:p>
    <w:p w:rsidR="00000000" w:rsidDel="00000000" w:rsidP="00000000" w:rsidRDefault="00000000" w:rsidRPr="00000000" w14:paraId="0000000F">
      <w:pPr>
        <w:spacing w:after="240" w:before="240" w:lineRule="auto"/>
        <w:rPr>
          <w:rFonts w:ascii="Average" w:cs="Average" w:eastAsia="Average" w:hAnsi="Average"/>
        </w:rPr>
      </w:pPr>
      <w:r w:rsidDel="00000000" w:rsidR="00000000" w:rsidRPr="00000000">
        <w:rPr>
          <w:rtl w:val="0"/>
        </w:rPr>
      </w:r>
    </w:p>
    <w:p w:rsidR="00000000" w:rsidDel="00000000" w:rsidP="00000000" w:rsidRDefault="00000000" w:rsidRPr="00000000" w14:paraId="00000010">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End-of-Program</w:t>
      </w:r>
    </w:p>
    <w:p w:rsidR="00000000" w:rsidDel="00000000" w:rsidP="00000000" w:rsidRDefault="00000000" w:rsidRPr="00000000" w14:paraId="00000011">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End-of-Program (EOP) exams in Career and Technical Education (CTE) are assessments given to CTE concentrators—students who have completed two or more courses within a specific career pathway. In our district, we administer these exams to all eligible students (typically sophomores through seniors) once they meet this requirement based on their transcripts.</w:t>
      </w:r>
    </w:p>
    <w:p w:rsidR="00000000" w:rsidDel="00000000" w:rsidP="00000000" w:rsidRDefault="00000000" w:rsidRPr="00000000" w14:paraId="00000012">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The purpose of the EOP exam is to measure students’ knowledge and skills in their chosen career area and provide a consistent, standards-based indicator of career readiness. We intentionally introduce students to EOP exams as soon as they qualify so they become familiar with the format, expectations, and testing process. This early exposure helps reduce test anxiety, builds confidence over time, and supports improved performance, so that by their senior year students are better prepared and more successful in demonstrating mastery of their career pathway skills.</w:t>
      </w:r>
    </w:p>
    <w:p w:rsidR="00000000" w:rsidDel="00000000" w:rsidP="00000000" w:rsidRDefault="00000000" w:rsidRPr="00000000" w14:paraId="00000013">
      <w:pPr>
        <w:spacing w:after="240" w:before="240" w:lineRule="auto"/>
        <w:rPr>
          <w:rFonts w:ascii="Average" w:cs="Average" w:eastAsia="Average" w:hAnsi="Average"/>
        </w:rPr>
      </w:pPr>
      <w:r w:rsidDel="00000000" w:rsidR="00000000" w:rsidRPr="00000000">
        <w:rPr>
          <w:rtl w:val="0"/>
        </w:rPr>
      </w:r>
    </w:p>
    <w:p w:rsidR="00000000" w:rsidDel="00000000" w:rsidP="00000000" w:rsidRDefault="00000000" w:rsidRPr="00000000" w14:paraId="00000014">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Industry Certifications</w:t>
      </w:r>
    </w:p>
    <w:p w:rsidR="00000000" w:rsidDel="00000000" w:rsidP="00000000" w:rsidRDefault="00000000" w:rsidRPr="00000000" w14:paraId="00000015">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Industry certification exams in CTE pathways are typically taken by students—most often juniors and seniors—after they have completed at least four courses in their program of study. These exams assess whether students have mastered the skills and knowledge required by industry standards, and successful completion results in an industry-recognized credential or certificate.</w:t>
      </w:r>
    </w:p>
    <w:p w:rsidR="00000000" w:rsidDel="00000000" w:rsidP="00000000" w:rsidRDefault="00000000" w:rsidRPr="00000000" w14:paraId="00000016">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These certifications are valuable because they can strengthen a student’s qualifications for future opportunities. They may help students:</w:t>
      </w:r>
    </w:p>
    <w:p w:rsidR="00000000" w:rsidDel="00000000" w:rsidP="00000000" w:rsidRDefault="00000000" w:rsidRPr="00000000" w14:paraId="00000017">
      <w:pPr>
        <w:numPr>
          <w:ilvl w:val="0"/>
          <w:numId w:val="1"/>
        </w:numPr>
        <w:spacing w:after="0" w:afterAutospacing="0" w:before="240" w:lineRule="auto"/>
        <w:ind w:left="720" w:hanging="360"/>
        <w:rPr>
          <w:rFonts w:ascii="Average" w:cs="Average" w:eastAsia="Average" w:hAnsi="Average"/>
        </w:rPr>
      </w:pPr>
      <w:r w:rsidDel="00000000" w:rsidR="00000000" w:rsidRPr="00000000">
        <w:rPr>
          <w:rFonts w:ascii="Average" w:cs="Average" w:eastAsia="Average" w:hAnsi="Average"/>
          <w:rtl w:val="0"/>
        </w:rPr>
        <w:t xml:space="preserve">Become more competitive when applying for entry-level jobs in their field</w:t>
      </w:r>
    </w:p>
    <w:p w:rsidR="00000000" w:rsidDel="00000000" w:rsidP="00000000" w:rsidRDefault="00000000" w:rsidRPr="00000000" w14:paraId="00000018">
      <w:pPr>
        <w:numPr>
          <w:ilvl w:val="0"/>
          <w:numId w:val="1"/>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Qualify for better job opportunities or higher starting wages</w:t>
      </w:r>
    </w:p>
    <w:p w:rsidR="00000000" w:rsidDel="00000000" w:rsidP="00000000" w:rsidRDefault="00000000" w:rsidRPr="00000000" w14:paraId="00000019">
      <w:pPr>
        <w:numPr>
          <w:ilvl w:val="0"/>
          <w:numId w:val="1"/>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Demonstrate job-ready skills to employers</w:t>
      </w:r>
    </w:p>
    <w:p w:rsidR="00000000" w:rsidDel="00000000" w:rsidP="00000000" w:rsidRDefault="00000000" w:rsidRPr="00000000" w14:paraId="0000001A">
      <w:pPr>
        <w:numPr>
          <w:ilvl w:val="0"/>
          <w:numId w:val="1"/>
        </w:numPr>
        <w:spacing w:after="0" w:afterAutospacing="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Support college and technical program applications, especially in related fields</w:t>
      </w:r>
    </w:p>
    <w:p w:rsidR="00000000" w:rsidDel="00000000" w:rsidP="00000000" w:rsidRDefault="00000000" w:rsidRPr="00000000" w14:paraId="0000001B">
      <w:pPr>
        <w:numPr>
          <w:ilvl w:val="0"/>
          <w:numId w:val="1"/>
        </w:numPr>
        <w:spacing w:after="240" w:before="0" w:beforeAutospacing="0" w:lineRule="auto"/>
        <w:ind w:left="720" w:hanging="360"/>
        <w:rPr>
          <w:rFonts w:ascii="Average" w:cs="Average" w:eastAsia="Average" w:hAnsi="Average"/>
        </w:rPr>
      </w:pPr>
      <w:r w:rsidDel="00000000" w:rsidR="00000000" w:rsidRPr="00000000">
        <w:rPr>
          <w:rFonts w:ascii="Average" w:cs="Average" w:eastAsia="Average" w:hAnsi="Average"/>
          <w:rtl w:val="0"/>
        </w:rPr>
        <w:t xml:space="preserve">Reduce the need for some introductory training or coursework after graduation</w:t>
      </w:r>
    </w:p>
    <w:p w:rsidR="00000000" w:rsidDel="00000000" w:rsidP="00000000" w:rsidRDefault="00000000" w:rsidRPr="00000000" w14:paraId="0000001C">
      <w:pPr>
        <w:spacing w:after="240" w:before="240" w:lineRule="auto"/>
        <w:rPr>
          <w:rFonts w:ascii="Average" w:cs="Average" w:eastAsia="Average" w:hAnsi="Average"/>
        </w:rPr>
      </w:pPr>
      <w:r w:rsidDel="00000000" w:rsidR="00000000" w:rsidRPr="00000000">
        <w:rPr>
          <w:rtl w:val="0"/>
        </w:rPr>
      </w:r>
    </w:p>
    <w:p w:rsidR="00000000" w:rsidDel="00000000" w:rsidP="00000000" w:rsidRDefault="00000000" w:rsidRPr="00000000" w14:paraId="0000001D">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ACCESS Testing</w:t>
      </w:r>
    </w:p>
    <w:p w:rsidR="00000000" w:rsidDel="00000000" w:rsidP="00000000" w:rsidRDefault="00000000" w:rsidRPr="00000000" w14:paraId="0000001E">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ACCESS for ELLs (WIDA) is the annual English language proficiency assessment given to students identified as English learners in Kentucky. It measures growth in four domains—listening, speaking, reading, and writing—and provides an overall proficiency score on a scale from 1.0 to 6.0.</w:t>
      </w:r>
    </w:p>
    <w:p w:rsidR="00000000" w:rsidDel="00000000" w:rsidP="00000000" w:rsidRDefault="00000000" w:rsidRPr="00000000" w14:paraId="0000001F">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For Kentucky accountability, student progress is measured by year-to-year growth in proficiency levels, with a key benchmark being 0.5 or more growth in the overall composite score, which indicates strong progress in English language development. This growth expectation helps ensure students are steadily advancing toward full academic language proficiency.</w:t>
      </w:r>
    </w:p>
    <w:p w:rsidR="00000000" w:rsidDel="00000000" w:rsidP="00000000" w:rsidRDefault="00000000" w:rsidRPr="00000000" w14:paraId="00000020">
      <w:pPr>
        <w:spacing w:after="240" w:before="240" w:lineRule="auto"/>
        <w:rPr>
          <w:rFonts w:ascii="Average" w:cs="Average" w:eastAsia="Average" w:hAnsi="Average"/>
        </w:rPr>
      </w:pPr>
      <w:r w:rsidDel="00000000" w:rsidR="00000000" w:rsidRPr="00000000">
        <w:rPr>
          <w:rFonts w:ascii="Average" w:cs="Average" w:eastAsia="Average" w:hAnsi="Average"/>
          <w:rtl w:val="0"/>
        </w:rPr>
        <w:t xml:space="preserve">Students may exit (or “test out”) of the English learner program when they reach an overall composite proficiency level of 4.5 or higher, along with meeting other state criteria. At that point, they are considered sufficiently proficient in English to participate in mainstream instruction without language support services, although they are still monitored for continued academic success after exiting the program.</w:t>
      </w:r>
    </w:p>
    <w:p w:rsidR="00000000" w:rsidDel="00000000" w:rsidP="00000000" w:rsidRDefault="00000000" w:rsidRPr="00000000" w14:paraId="00000021">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rage">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verag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