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5/14/2026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Student &amp; Community Services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Ethan’s Purpose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Memorandum of Understanding for School- Based Services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 – June 30, 2027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Board Policy 10.3 Relationships with Community Organizations; Strategic Plan Connection: Goal 3,          Stakeholder Engagement, Objective 3B (1) Foster relationships with business and community partners, engage in community outreach, and develop alumni connections to strengthen stakeholder engagement.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district proposes entering into a memorandum of understanding with Ethan’s Purpose, a qualified Service Provider to expand access to mental and behavioral health services for students and families. The Service Provider employs trained professionals who specialize in assessing and delivering counseling services to children experiencing mental health and behavioral challenges.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Cost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recommend the board approve this Memorandum of Unders</w:t>
      </w:r>
      <w:r w:rsidDel="00000000" w:rsidR="00000000" w:rsidRPr="00000000">
        <w:rPr>
          <w:rFonts w:ascii="Calibri" w:cs="Calibri" w:eastAsia="Calibri" w:hAnsi="Calibri"/>
          <w:rtl w:val="0"/>
        </w:rPr>
        <w:t xml:space="preserve">tanding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between Boone County Schools and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Ethan’s Purpose as presented.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Jodi Hall, Executive Director of Student Services</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7292975"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729297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