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5/14/2026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 – 14 Elementary Schools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Amplify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Core Knowledge Language Arts (CKLA)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7/1/2026 – 6/30/2027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1B Boone County Schools will ensure all students will receive rigorous and engaging instruction via a guaranteed and viable curriculum in every classroom, every day: 1) Develop and implement consistent instructional frameworks at each level in all schools, and 2) Implement a Multi-Tiered System of Supports (MTSS) that meets the learning needs of struggling learners.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Amplify CKLA is the recommended core instruction program per SB 9 regulation. It is a K-5 program that combines rich, diverse content knowledge in history, science, literature, and the arts with systematic, research-based foundational skills instruction and is grounded in the Science of Reading. Amplify CKLA meets the criteria on EdReports and ESSA to be identified as a High-Quality Instructional Resource (HQIR) and will be used to implement our elementary instructional framework (Strategic Plan Goal 1B-1) and Tier 1 instruction for MTSS (Strategic Plan Goal 1B-3).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$287,818.81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SBDM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27,020.00,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LBES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35,971.00,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NPES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6,395.68,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9,792.00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 Fees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21,431.00,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NHES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28,209.00,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NPES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10,000.00,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473.00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Title 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18,549.68,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14,947.60,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12,250.00,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10,403.04,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24,071.60,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18,770.00,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9,146.32,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18,886.00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District Textbook Funds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District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21,502.89 (Shipping for All Schools)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Amplify, as presented.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Julie Rubemeyer, Director of Elementary Education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900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