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1800"/>
        <w:rPr>
          <w:rFonts w:ascii="Lora" w:cs="Lora" w:eastAsia="Lora" w:hAnsi="Lora"/>
          <w:b w:val="1"/>
          <w:bCs w:val="1"/>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-171449</wp:posOffset>
            </wp:positionH>
            <wp:positionV relativeFrom="paragraph">
              <wp:posOffset>57150</wp:posOffset>
            </wp:positionV>
            <wp:extent cx="1052513" cy="1434675"/>
            <wp:effectExtent b="0" l="0" r="0" t="0"/>
            <wp:wrapNone/>
            <wp:docPr id="1" name="image1.png"/>
            <a:graphic>
              <a:graphicData uri="http://schemas.openxmlformats.org/drawingml/2006/picture">
                <pic:pic>
                  <pic:nvPicPr>
                    <pic:cNvPr id="0" name="image1.png"/>
                    <pic:cNvPicPr preferRelativeResize="0"/>
                  </pic:nvPicPr>
                  <pic:blipFill>
                    <a:blip r:embed="rId6"/>
                    <a:srcRect b="0" l="0" r="0" t="15002"/>
                    <a:stretch>
                      <a:fillRect/>
                    </a:stretch>
                  </pic:blipFill>
                  <pic:spPr>
                    <a:xfrm>
                      <a:off x="0" y="0"/>
                      <a:ext cx="1052513" cy="1434675"/>
                    </a:xfrm>
                    <a:prstGeom prst="rect"/>
                    <a:ln/>
                  </pic:spPr>
                </pic:pic>
              </a:graphicData>
            </a:graphic>
          </wp:anchor>
        </w:drawing>
      </w:r>
    </w:p>
    <w:tbl>
      <w:tblPr>
        <w:tblStyle w:val="Table1"/>
        <w:tblW w:w="95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840"/>
        <w:gridCol w:w="3810"/>
        <w:tblGridChange w:id="0">
          <w:tblGrid>
            <w:gridCol w:w="1920"/>
            <w:gridCol w:w="3840"/>
            <w:gridCol w:w="3810"/>
          </w:tblGrid>
        </w:tblGridChange>
      </w:tblGrid>
      <w:tr>
        <w:trPr>
          <w:cantSplit w:val="0"/>
          <w:tblHeader w:val="0"/>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widowControl w:val="0"/>
              <w:jc w:val="left"/>
              <w:rPr>
                <w:rFonts w:ascii="Lora Medium" w:cs="Lora Medium" w:eastAsia="Lora Medium" w:hAnsi="Lora Medium"/>
                <w:color w:val="00004d"/>
                <w:sz w:val="20"/>
                <w:szCs w:val="20"/>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3">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JOB TITLE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4">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Director</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6">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7">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Superintendent of Schools </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9">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A">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 Admin</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C">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D">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235</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F">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0">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7466</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2">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3">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ora" w:cs="Lora" w:eastAsia="Lora" w:hAnsi="Lora"/>
                <w:b w:val="1"/>
                <w:bCs w:val="1"/>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5">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6">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DRAFT</w:t>
            </w:r>
          </w:p>
        </w:tc>
      </w:tr>
    </w:tbl>
    <w:p w:rsidR="00000000" w:rsidDel="00000000" w:rsidP="00000000" w:rsidRDefault="00000000" w:rsidRPr="00000000" w14:paraId="00000017">
      <w:pPr>
        <w:spacing w:line="240" w:lineRule="auto"/>
        <w:rPr>
          <w:rFonts w:ascii="Lora" w:cs="Lora" w:eastAsia="Lora" w:hAnsi="Lora"/>
          <w:b w:val="1"/>
          <w:bCs w:val="1"/>
          <w:sz w:val="20"/>
          <w:szCs w:val="20"/>
        </w:rPr>
      </w:pPr>
      <w:r w:rsidDel="00000000" w:rsidR="00000000" w:rsidRPr="00000000">
        <w:rPr>
          <w:rtl w:val="0"/>
        </w:rPr>
      </w:r>
    </w:p>
    <w:tbl>
      <w:tblPr>
        <w:tblStyle w:val="Table2"/>
        <w:tblW w:w="10395.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95"/>
        <w:tblGridChange w:id="0">
          <w:tblGrid>
            <w:gridCol w:w="1039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QUALIFICATIONS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9">
            <w:pPr>
              <w:spacing w:after="0" w:before="0" w:line="249.60000000000002" w:lineRule="auto"/>
              <w:ind w:left="180" w:right="120" w:firstLine="0"/>
              <w:jc w:val="both"/>
              <w:rPr>
                <w:rFonts w:ascii="Lora" w:cs="Lora" w:eastAsia="Lora" w:hAnsi="Lora"/>
                <w:sz w:val="20"/>
                <w:szCs w:val="20"/>
              </w:rPr>
            </w:pPr>
            <w:r w:rsidDel="00000000" w:rsidR="00000000" w:rsidRPr="00000000">
              <w:rPr>
                <w:rFonts w:ascii="Lora" w:cs="Lora" w:eastAsia="Lora" w:hAnsi="Lora"/>
                <w:sz w:val="20"/>
                <w:szCs w:val="20"/>
                <w:rtl w:val="0"/>
              </w:rPr>
              <w:t xml:space="preserve">•</w:t>
              <w:tab/>
              <w:t xml:space="preserve">Bachelor’s degree, or equivalent education experience, with academic majors in specific areas*; OR</w:t>
            </w:r>
          </w:p>
          <w:p w:rsidR="00000000" w:rsidDel="00000000" w:rsidP="00000000" w:rsidRDefault="00000000" w:rsidRPr="00000000" w14:paraId="0000001A">
            <w:pPr>
              <w:spacing w:after="0" w:before="0" w:line="249.60000000000002" w:lineRule="auto"/>
              <w:ind w:left="180" w:right="120" w:firstLine="0"/>
              <w:jc w:val="both"/>
              <w:rPr>
                <w:rFonts w:ascii="Lora" w:cs="Lora" w:eastAsia="Lora" w:hAnsi="Lora"/>
                <w:sz w:val="20"/>
                <w:szCs w:val="20"/>
              </w:rPr>
            </w:pPr>
            <w:r w:rsidDel="00000000" w:rsidR="00000000" w:rsidRPr="00000000">
              <w:rPr>
                <w:rFonts w:ascii="Lora" w:cs="Lora" w:eastAsia="Lora" w:hAnsi="Lora"/>
                <w:sz w:val="20"/>
                <w:szCs w:val="20"/>
                <w:rtl w:val="0"/>
              </w:rPr>
              <w:t xml:space="preserve">•</w:t>
              <w:tab/>
              <w:t xml:space="preserve">Bachelor’s degree in any academic major; and state recognized certificate for school nutrition directors; OR</w:t>
            </w:r>
          </w:p>
          <w:p w:rsidR="00000000" w:rsidDel="00000000" w:rsidP="00000000" w:rsidRDefault="00000000" w:rsidRPr="00000000" w14:paraId="0000001B">
            <w:pPr>
              <w:spacing w:after="0" w:before="0" w:line="249.60000000000002" w:lineRule="auto"/>
              <w:ind w:left="180" w:right="120" w:firstLine="0"/>
              <w:jc w:val="both"/>
              <w:rPr>
                <w:rFonts w:ascii="Lora" w:cs="Lora" w:eastAsia="Lora" w:hAnsi="Lora"/>
                <w:sz w:val="20"/>
                <w:szCs w:val="20"/>
              </w:rPr>
            </w:pPr>
            <w:r w:rsidDel="00000000" w:rsidR="00000000" w:rsidRPr="00000000">
              <w:rPr>
                <w:rFonts w:ascii="Lora" w:cs="Lora" w:eastAsia="Lora" w:hAnsi="Lora"/>
                <w:sz w:val="20"/>
                <w:szCs w:val="20"/>
                <w:rtl w:val="0"/>
              </w:rPr>
              <w:t xml:space="preserve">•</w:t>
              <w:tab/>
              <w:t xml:space="preserve">Associate’s degree or equivalent educational experience, with academic major in specific areas,* and at least one year of relevant school nutrition programs experience; OR </w:t>
            </w:r>
          </w:p>
          <w:p w:rsidR="00000000" w:rsidDel="00000000" w:rsidP="00000000" w:rsidRDefault="00000000" w:rsidRPr="00000000" w14:paraId="0000001C">
            <w:pPr>
              <w:spacing w:after="0" w:before="0" w:line="249.60000000000002" w:lineRule="auto"/>
              <w:ind w:left="180" w:right="120" w:firstLine="0"/>
              <w:jc w:val="both"/>
              <w:rPr>
                <w:rFonts w:ascii="Lora" w:cs="Lora" w:eastAsia="Lora" w:hAnsi="Lora"/>
                <w:sz w:val="20"/>
                <w:szCs w:val="20"/>
              </w:rPr>
            </w:pPr>
            <w:r w:rsidDel="00000000" w:rsidR="00000000" w:rsidRPr="00000000">
              <w:rPr>
                <w:rFonts w:ascii="Lora" w:cs="Lora" w:eastAsia="Lora" w:hAnsi="Lora"/>
                <w:sz w:val="20"/>
                <w:szCs w:val="20"/>
                <w:rtl w:val="0"/>
              </w:rPr>
              <w:t xml:space="preserve">•</w:t>
              <w:tab/>
              <w:t xml:space="preserve">High school diploma (or GED) and at least three years of relevant experience in school nutrition programs.</w:t>
            </w:r>
          </w:p>
        </w:tc>
      </w:tr>
    </w:tbl>
    <w:p w:rsidR="00000000" w:rsidDel="00000000" w:rsidP="00000000" w:rsidRDefault="00000000" w:rsidRPr="00000000" w14:paraId="0000001D">
      <w:pPr>
        <w:spacing w:line="240" w:lineRule="auto"/>
        <w:rPr>
          <w:rFonts w:ascii="Lora" w:cs="Lora" w:eastAsia="Lora" w:hAnsi="Lora"/>
          <w:b w:val="1"/>
          <w:bCs w:val="1"/>
          <w:sz w:val="20"/>
          <w:szCs w:val="20"/>
        </w:rPr>
      </w:pPr>
      <w:r w:rsidDel="00000000" w:rsidR="00000000" w:rsidRPr="00000000">
        <w:rPr>
          <w:rtl w:val="0"/>
        </w:rPr>
      </w:r>
    </w:p>
    <w:tbl>
      <w:tblPr>
        <w:tblStyle w:val="Table3"/>
        <w:tblW w:w="1044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POSITION SUMMARY</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widowControl w:val="0"/>
              <w:spacing w:after="0" w:before="0"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Oversee the functioning of a small districtwide food service program, ensure cost effectiveness and compliance with district, state and federal requirements regarding nutrition, menu planning, food production, sanitation, safety, financial management, procurement and record-keeping;  select, supervise and evaluate the performance of assigned personnel.</w:t>
            </w:r>
          </w:p>
        </w:tc>
      </w:tr>
    </w:tbl>
    <w:p w:rsidR="00000000" w:rsidDel="00000000" w:rsidP="00000000" w:rsidRDefault="00000000" w:rsidRPr="00000000" w14:paraId="00000020">
      <w:pPr>
        <w:spacing w:line="240" w:lineRule="auto"/>
        <w:rPr>
          <w:rFonts w:ascii="Lora" w:cs="Lora" w:eastAsia="Lora" w:hAnsi="Lora"/>
          <w:b w:val="1"/>
          <w:bCs w:val="1"/>
          <w:sz w:val="20"/>
          <w:szCs w:val="20"/>
        </w:rPr>
      </w:pPr>
      <w:r w:rsidDel="00000000" w:rsidR="00000000" w:rsidRPr="00000000">
        <w:rPr>
          <w:rtl w:val="0"/>
        </w:rPr>
      </w:r>
    </w:p>
    <w:tbl>
      <w:tblPr>
        <w:tblStyle w:val="Table4"/>
        <w:tblW w:w="104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5"/>
        <w:tblGridChange w:id="0">
          <w:tblGrid>
            <w:gridCol w:w="1045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PERFORMANCE RESPONSIBILITIES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2">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Processes and approves direct certification for students’ families who receive benefits from social insurance.  Distributes, processes, and approves family applications for free and reduced meals in accordance with federal regulations. Updates meal status as changes occur and maintains documentation of the district percentages of free and reduced students.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3">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Processes yearly verification of income for free and reduced applications as  mandated by federal regulations.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4">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Establishes standard operating procedures for nutrition services in compliance with  federal and state regulations and board policies.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5">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Selects, trains, supervises, and evaluates all employees in accordance with the Board of Education policies and procedures.  Seeks input from the building  principals when appropriate.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6">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Attends state and regional training to remain informed on current regulations, policies, and best practices. Maintains certifications as required by federal and  state regulations.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Provides and tracks professional development for employees as required by federal and state regulations.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8">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Authorizes monthly Nutrition Services documentation: signs time cards and leave  forms.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9">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Attends monthly administrative staff meetings and all other district meetings or training as required.  Advises administrative team of program highlights and  changes.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A">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Makes recommendations to the Superintendent for changes in meal and milk prices. Changes a la carte prices to reflect fluctuations in the price of purchased food.</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B">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Orders commodity foods and schedules distribution to individual school cafeterias.  Tracks commodity foods to ensure receipt from USDA of our planned assistance level.</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Reviews monthly inventories to ensure efficient use of foods and supplies.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Prepares specifications and bid conditions for food, supplies, and equipment as  required by federal and state regulations and district board policy.  Recommends the acceptance of the lowest price and/or best product to the Superintendent as needed.  Monitors all school cafeteria inventories for purchased food, supplies,  and equipment.  Supervises orders for food, supplies, small and large equipment.</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Solicits bids for equipment service, repairs, and yearly preventive maintenance. Tracks equipment depreciation, service, repairs, and maintenance.  Requests fixed asset tag for all new equipment.</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Monitors and maintains a nutrient analysis of all products used in meal and snack service while ensuring any discrepancies are addressed. Provides access to the analysis through the district website and/or posting in the school kitchens. </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Coordinates district menu planning with cafeteria managers.  Develops  student-friendly menus to meet dietary guidelines and federal regulations.  Distributes menus to cafeteria managers, schools, and posts them on the district’s  website</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Maintains records that reflect student and adult participation by meal type and category, school, and district.</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Prepares an annual budget.  Develops and administers accurate accounting  procedures for controlling costs of food, labor, supplies, and equipment.  Submits financial reports as requested to the Superintendent, Board of Education, state,  and national authorities.</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Consolidates purchase orders for all schools, verifies expenses with monthly statements,  prints standard invoices and submits bills to Central Office for  payment.</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Consolidates and submits monthly financial and statistical reports to the district’s Director of Finance and the Department of Education.  Participates in the annual district financial audit, program review by the Department of Agriculture, and program audit by Nutrition and Health Services.</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Coordinates a district wellness plan to include food service staff, teachers, students and parents.</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Establishes and maintains high standards of sanitation and safety in all phases of the Nutrition Services Program.</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Maintains an open line of communication with all district staff and students to  promote the objectives of the Nutrition Services Program.</w:t>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Perform other duties as assigned by the Superintendent.</w:t>
            </w:r>
          </w:p>
        </w:tc>
      </w:tr>
    </w:tbl>
    <w:p w:rsidR="00000000" w:rsidDel="00000000" w:rsidP="00000000" w:rsidRDefault="00000000" w:rsidRPr="00000000" w14:paraId="00000039">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3A">
      <w:pPr>
        <w:spacing w:line="240" w:lineRule="auto"/>
        <w:rPr>
          <w:rFonts w:ascii="Lora" w:cs="Lora" w:eastAsia="Lora" w:hAnsi="Lora"/>
          <w:b w:val="1"/>
          <w:bCs w:val="1"/>
          <w:sz w:val="20"/>
          <w:szCs w:val="20"/>
        </w:rPr>
      </w:pPr>
      <w:r w:rsidDel="00000000" w:rsidR="00000000" w:rsidRPr="00000000">
        <w:rPr>
          <w:rtl w:val="0"/>
        </w:rPr>
      </w:r>
    </w:p>
    <w:tbl>
      <w:tblPr>
        <w:tblStyle w:val="Table5"/>
        <w:tblW w:w="1050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rHeight w:val="341.6" w:hRule="atLeast"/>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ind w:left="-180" w:right="-240" w:firstLine="0"/>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KNOWLEDGE AND ABILITIES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Record keeping.</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Operation of computer and other technology.</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E">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Verbal and written communication skills.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F">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Laws, rules and statutory regulations related to assigned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0">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Policies and objectives of assigned program and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Prioritize and schedule work. </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2">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Determine appropriate action within clearly defined guidelines.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43">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Meet schedules and timelines.</w:t>
            </w:r>
          </w:p>
        </w:tc>
      </w:tr>
    </w:tbl>
    <w:p w:rsidR="00000000" w:rsidDel="00000000" w:rsidP="00000000" w:rsidRDefault="00000000" w:rsidRPr="00000000" w14:paraId="00000044">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5">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6">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7">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8">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9">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A">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B">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4C">
      <w:pPr>
        <w:spacing w:line="240" w:lineRule="auto"/>
        <w:rPr>
          <w:rFonts w:ascii="Lora" w:cs="Lora" w:eastAsia="Lora" w:hAnsi="Lora"/>
          <w:sz w:val="20"/>
          <w:szCs w:val="20"/>
        </w:rPr>
      </w:pPr>
      <w:r w:rsidDel="00000000" w:rsidR="00000000" w:rsidRPr="00000000">
        <w:rPr>
          <w:rtl w:val="0"/>
        </w:rPr>
      </w:r>
    </w:p>
    <w:tbl>
      <w:tblPr>
        <w:tblStyle w:val="Table6"/>
        <w:tblW w:w="978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1755"/>
        <w:gridCol w:w="1785"/>
        <w:gridCol w:w="1845"/>
        <w:gridCol w:w="1800"/>
        <w:tblGridChange w:id="0">
          <w:tblGrid>
            <w:gridCol w:w="2595"/>
            <w:gridCol w:w="1755"/>
            <w:gridCol w:w="1785"/>
            <w:gridCol w:w="1845"/>
            <w:gridCol w:w="1800"/>
          </w:tblGrid>
        </w:tblGridChange>
      </w:tblGrid>
      <w:tr>
        <w:trPr>
          <w:cantSplit w:val="0"/>
          <w:trHeight w:val="40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PHYSICAL DEMANDS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SELDOM/RARE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OCCASIONAL</w:t>
            </w:r>
          </w:p>
          <w:p w:rsidR="00000000" w:rsidDel="00000000" w:rsidP="00000000" w:rsidRDefault="00000000" w:rsidRPr="00000000" w14:paraId="00000055">
            <w:pPr>
              <w:widowControl w:val="0"/>
              <w:spacing w:line="240" w:lineRule="auto"/>
              <w:jc w:val="center"/>
              <w:rPr>
                <w:rFonts w:ascii="Lora" w:cs="Lora" w:eastAsia="Lora" w:hAnsi="Lora"/>
                <w:b w:val="1"/>
                <w:bCs w:val="1"/>
                <w:sz w:val="12"/>
                <w:szCs w:val="12"/>
              </w:rPr>
            </w:pPr>
            <w:r w:rsidDel="00000000" w:rsidR="00000000" w:rsidRPr="00000000">
              <w:rPr>
                <w:rFonts w:ascii="Lora" w:cs="Lora" w:eastAsia="Lora" w:hAnsi="Lora"/>
                <w:b w:val="1"/>
                <w:bCs w:val="1"/>
                <w:sz w:val="12"/>
                <w:szCs w:val="12"/>
                <w:rtl w:val="0"/>
              </w:rPr>
              <w:t xml:space="preserve">(UP TO 1/3 OF WORK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FREQUENT</w:t>
            </w:r>
          </w:p>
          <w:p w:rsidR="00000000" w:rsidDel="00000000" w:rsidP="00000000" w:rsidRDefault="00000000" w:rsidRPr="00000000" w14:paraId="00000057">
            <w:pPr>
              <w:widowControl w:val="0"/>
              <w:spacing w:line="240" w:lineRule="auto"/>
              <w:jc w:val="center"/>
              <w:rPr>
                <w:rFonts w:ascii="Lora" w:cs="Lora" w:eastAsia="Lora" w:hAnsi="Lora"/>
                <w:sz w:val="20"/>
                <w:szCs w:val="20"/>
              </w:rPr>
            </w:pPr>
            <w:r w:rsidDel="00000000" w:rsidR="00000000" w:rsidRPr="00000000">
              <w:rPr>
                <w:rFonts w:ascii="Lora" w:cs="Lora" w:eastAsia="Lora" w:hAnsi="Lora"/>
                <w:b w:val="1"/>
                <w:bCs w:val="1"/>
                <w:sz w:val="12"/>
                <w:szCs w:val="12"/>
                <w:rtl w:val="0"/>
              </w:rPr>
              <w:t xml:space="preserve">(1/3 TO 2/3  OF WORK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FREQUENT</w:t>
            </w:r>
          </w:p>
          <w:p w:rsidR="00000000" w:rsidDel="00000000" w:rsidP="00000000" w:rsidRDefault="00000000" w:rsidRPr="00000000" w14:paraId="00000059">
            <w:pPr>
              <w:widowControl w:val="0"/>
              <w:spacing w:line="240" w:lineRule="auto"/>
              <w:jc w:val="center"/>
              <w:rPr>
                <w:rFonts w:ascii="Lora" w:cs="Lora" w:eastAsia="Lora" w:hAnsi="Lora"/>
                <w:sz w:val="20"/>
                <w:szCs w:val="20"/>
              </w:rPr>
            </w:pPr>
            <w:r w:rsidDel="00000000" w:rsidR="00000000" w:rsidRPr="00000000">
              <w:rPr>
                <w:rFonts w:ascii="Lora" w:cs="Lora" w:eastAsia="Lora" w:hAnsi="Lora"/>
                <w:b w:val="1"/>
                <w:bCs w:val="1"/>
                <w:sz w:val="12"/>
                <w:szCs w:val="12"/>
                <w:rtl w:val="0"/>
              </w:rPr>
              <w:t xml:space="preserve">(2/3 OF WORK 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Standing/Walking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7"/>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7"/>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7"/>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7"/>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2"/>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2"/>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2"/>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2"/>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Handle/Feel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Reach/Push/Pull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11"/>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11"/>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Bend/Stoop/Crouch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6"/>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6"/>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6"/>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6"/>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Kneel/Crawl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4"/>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4"/>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4"/>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4"/>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Climb/Balance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3"/>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3"/>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3"/>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3"/>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Lora" w:cs="Lora" w:eastAsia="Lora" w:hAnsi="Lora"/>
                <w:sz w:val="20"/>
                <w:szCs w:val="20"/>
              </w:rPr>
            </w:pPr>
            <w:r w:rsidDel="00000000" w:rsidR="00000000" w:rsidRPr="00000000">
              <w:rPr>
                <w:rFonts w:ascii="Lora" w:cs="Lora" w:eastAsia="Lora" w:hAnsi="Lora"/>
                <w:sz w:val="20"/>
                <w:szCs w:val="20"/>
                <w:rtl w:val="0"/>
              </w:rPr>
              <w:t xml:space="preserve">Lift/Carry (check weight and frequency)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Up to 10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5"/>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5"/>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5"/>
              </w:numPr>
              <w:spacing w:line="240" w:lineRule="auto"/>
              <w:ind w:left="720" w:hanging="360"/>
              <w:jc w:val="center"/>
              <w:rPr>
                <w:rFonts w:ascii="Lora" w:cs="Lora" w:eastAsia="Lora" w:hAnsi="Lora"/>
                <w:sz w:val="20"/>
                <w:szCs w:val="2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5"/>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Up to 20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8"/>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8"/>
              </w:numPr>
              <w:spacing w:line="240" w:lineRule="auto"/>
              <w:ind w:left="720" w:hanging="360"/>
              <w:jc w:val="center"/>
              <w:rPr>
                <w:rFonts w:ascii="Lora" w:cs="Lora" w:eastAsia="Lora" w:hAnsi="Lora"/>
                <w:sz w:val="20"/>
                <w:szCs w:val="2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8"/>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8"/>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Up to 50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9"/>
              </w:numPr>
              <w:spacing w:line="240" w:lineRule="auto"/>
              <w:ind w:left="720" w:hanging="360"/>
              <w:jc w:val="center"/>
              <w:rPr>
                <w:rFonts w:ascii="Lora" w:cs="Lora" w:eastAsia="Lora" w:hAnsi="Lora"/>
                <w:sz w:val="20"/>
                <w:szCs w:val="2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9"/>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9"/>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9"/>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Up to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0"/>
              </w:numPr>
              <w:spacing w:line="240" w:lineRule="auto"/>
              <w:ind w:left="720" w:hanging="360"/>
              <w:jc w:val="center"/>
              <w:rPr>
                <w:rFonts w:ascii="Lora" w:cs="Lora" w:eastAsia="Lora" w:hAnsi="Lora"/>
                <w:sz w:val="20"/>
                <w:szCs w:val="2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0"/>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10"/>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0"/>
              </w:numPr>
              <w:spacing w:line="240" w:lineRule="auto"/>
              <w:ind w:left="720" w:hanging="360"/>
              <w:jc w:val="center"/>
              <w:rPr>
                <w:rFonts w:ascii="Lora" w:cs="Lora" w:eastAsia="Lora" w:hAnsi="Lor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Over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2"/>
              </w:numPr>
              <w:spacing w:line="240" w:lineRule="auto"/>
              <w:ind w:left="720" w:hanging="360"/>
              <w:jc w:val="center"/>
              <w:rPr>
                <w:rFonts w:ascii="Lora" w:cs="Lora" w:eastAsia="Lora" w:hAnsi="Lora"/>
                <w:sz w:val="20"/>
                <w:szCs w:val="20"/>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2"/>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2"/>
              </w:numPr>
              <w:spacing w:line="240" w:lineRule="auto"/>
              <w:ind w:left="720" w:hanging="360"/>
              <w:jc w:val="center"/>
              <w:rPr>
                <w:rFonts w:ascii="Lora" w:cs="Lora" w:eastAsia="Lora" w:hAnsi="Lor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2"/>
              </w:numPr>
              <w:spacing w:line="240" w:lineRule="auto"/>
              <w:ind w:left="720" w:hanging="360"/>
              <w:jc w:val="center"/>
              <w:rPr>
                <w:rFonts w:ascii="Lora" w:cs="Lora" w:eastAsia="Lora" w:hAnsi="Lora"/>
                <w:sz w:val="20"/>
                <w:szCs w:val="20"/>
              </w:rPr>
            </w:pPr>
            <w:r w:rsidDel="00000000" w:rsidR="00000000" w:rsidRPr="00000000">
              <w:rPr>
                <w:rtl w:val="0"/>
              </w:rPr>
            </w:r>
          </w:p>
        </w:tc>
      </w:tr>
    </w:tbl>
    <w:p w:rsidR="00000000" w:rsidDel="00000000" w:rsidP="00000000" w:rsidRDefault="00000000" w:rsidRPr="00000000" w14:paraId="0000009B">
      <w:pPr>
        <w:spacing w:line="240" w:lineRule="auto"/>
        <w:rPr>
          <w:rFonts w:ascii="Lora" w:cs="Lora" w:eastAsia="Lora" w:hAnsi="Lora"/>
          <w:b w:val="1"/>
          <w:bCs w:val="1"/>
          <w:sz w:val="20"/>
          <w:szCs w:val="20"/>
        </w:rPr>
      </w:pPr>
      <w:r w:rsidDel="00000000" w:rsidR="00000000" w:rsidRPr="00000000">
        <w:rPr>
          <w:rFonts w:ascii="Lora" w:cs="Lora" w:eastAsia="Lora" w:hAnsi="Lora"/>
          <w:sz w:val="20"/>
          <w:szCs w:val="20"/>
          <w:rtl w:val="0"/>
        </w:rPr>
        <w:t xml:space="preserve">         </w:t>
      </w:r>
      <w:r w:rsidDel="00000000" w:rsidR="00000000" w:rsidRPr="00000000">
        <w:rPr>
          <w:rtl w:val="0"/>
        </w:rPr>
      </w:r>
    </w:p>
    <w:sectPr>
      <w:footerReference r:id="rId7" w:type="default"/>
      <w:pgSz w:h="15840" w:w="12240" w:orient="portrait"/>
      <w:pgMar w:bottom="144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