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80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-171448</wp:posOffset>
            </wp:positionH>
            <wp:positionV relativeFrom="paragraph">
              <wp:posOffset>57150</wp:posOffset>
            </wp:positionV>
            <wp:extent cx="1052513" cy="143467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15002"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1434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57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990"/>
        <w:gridCol w:w="3810"/>
        <w:tblGridChange w:id="0">
          <w:tblGrid>
            <w:gridCol w:w="1770"/>
            <w:gridCol w:w="3990"/>
            <w:gridCol w:w="3810"/>
          </w:tblGrid>
        </w:tblGridChange>
      </w:tblGrid>
      <w:tr>
        <w:trPr>
          <w:cantSplit w:val="0"/>
          <w:trHeight w:val="230.39999999999998" w:hRule="atLeast"/>
          <w:tblHeader w:val="0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left"/>
              <w:rPr>
                <w:rFonts w:ascii="Lora Medium" w:cs="Lora Medium" w:eastAsia="Lora Medium" w:hAnsi="Lora Medium"/>
                <w:color w:val="000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JOB TITLE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Food Service Program Assistant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Food Service Director</w:t>
            </w:r>
          </w:p>
        </w:tc>
      </w:tr>
      <w:tr>
        <w:trPr>
          <w:cantSplit w:val="0"/>
          <w:trHeight w:val="245.39999999999998" w:hRule="atLeast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Classified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185 days/7.5 hours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7224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Classified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05/27/2009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tabs>
                <w:tab w:val="right" w:leader="none" w:pos="360"/>
                <w:tab w:val="left" w:leader="none" w:pos="630"/>
              </w:tabs>
              <w:spacing w:after="0" w:before="0" w:line="244.8" w:lineRule="auto"/>
              <w:ind w:right="140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Any combination equivalent to a high school diploma, G.E.D. diploma or demonstrated progress toward obtaining a G.E.D. diploma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POSITION SUMMARY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To assist the Food Service Director in the efficient and effective operation of the district’s nutrition services program;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Ensure compliance with National School Lunch program requirements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PERFORMANCE RESPONSIBILITIES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Carries out the duties of the Food Service Director in his/her absence.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Attends local, regional and state food service training as required by the Food Service Director; Assists in training Nutrition Services team members.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Conduct operational program reviews; notify administrative staff in the food services department of the audit/review status of each site visited, audited and evaluated.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Assists with processing free and reduced applications, verification and food bids.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Continually monitors the acceptance of new menu items.  Reviews operational procedures in each school’s Food Service area and makes suggestions to improve preparation methods, recipes, and serving techniques.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Based on staffing needs, the Food Service Program Assistant may also work as a Food Service Manager or other member of the food service team.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Assist in the development of instructional and informational materials related to the assigned areas of responsibility.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Performs other duties as assigned by the Food Service Director.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642938</wp:posOffset>
                </wp:positionH>
                <wp:positionV relativeFrom="page">
                  <wp:posOffset>9481884</wp:posOffset>
                </wp:positionV>
                <wp:extent cx="6291322" cy="319341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26700" y="3579900"/>
                          <a:ext cx="8238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1"/>
                                <w:i w:val="0"/>
                                <w:smallCaps w:val="0"/>
                                <w:strike w:val="0"/>
                                <w:color w:val="26255e"/>
                                <w:sz w:val="28"/>
                                <w:vertAlign w:val="baseline"/>
                              </w:rPr>
                              <w:t xml:space="preserve">219 HELM STREET | ELIZABETHTOWN, KY 42701 | ETOWN.KYSCHOOLS.US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|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1"/>
                                <w:i w:val="0"/>
                                <w:smallCaps w:val="0"/>
                                <w:strike w:val="0"/>
                                <w:color w:val="26255e"/>
                                <w:sz w:val="28"/>
                                <w:vertAlign w:val="baseline"/>
                              </w:rPr>
                              <w:t xml:space="preserve">P: 270.765.6146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642938</wp:posOffset>
                </wp:positionH>
                <wp:positionV relativeFrom="page">
                  <wp:posOffset>9481884</wp:posOffset>
                </wp:positionV>
                <wp:extent cx="6291322" cy="319341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322" cy="3193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5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KNOWLEDGE AND ABILITIES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Record keeping.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Operation of computer and other technology.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Verbal and written communication skills.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Laws, rules and statutory regulations related to assigned activities.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Policies and objectives of assigned program and activities.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Prioritize and schedule work.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Determine appropriate action within clearly defined guidelines.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Meet schedules and timelines.</w:t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  </w:t>
      </w:r>
    </w:p>
    <w:tbl>
      <w:tblPr>
        <w:tblStyle w:val="Table6"/>
        <w:tblW w:w="978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1755"/>
        <w:gridCol w:w="1785"/>
        <w:gridCol w:w="1845"/>
        <w:gridCol w:w="1800"/>
        <w:tblGridChange w:id="0">
          <w:tblGrid>
            <w:gridCol w:w="2595"/>
            <w:gridCol w:w="1755"/>
            <w:gridCol w:w="1785"/>
            <w:gridCol w:w="1845"/>
            <w:gridCol w:w="18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20"/>
                <w:szCs w:val="20"/>
                <w:rtl w:val="0"/>
              </w:rPr>
              <w:t xml:space="preserve">PHYSICAL DEMANDS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20"/>
                <w:szCs w:val="20"/>
                <w:rtl w:val="0"/>
              </w:rPr>
              <w:t xml:space="preserve">SELDOM/RARE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20"/>
                <w:szCs w:val="20"/>
                <w:rtl w:val="0"/>
              </w:rPr>
              <w:t xml:space="preserve">OCCASIONAL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2"/>
                <w:szCs w:val="12"/>
                <w:rtl w:val="0"/>
              </w:rPr>
              <w:t xml:space="preserve">(UP TO 1/3 OF WORK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20"/>
                <w:szCs w:val="20"/>
                <w:rtl w:val="0"/>
              </w:rPr>
              <w:t xml:space="preserve">FREQUENT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2"/>
                <w:szCs w:val="12"/>
                <w:rtl w:val="0"/>
              </w:rPr>
              <w:t xml:space="preserve">(1/3 TO 2/3  OF WORK 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20"/>
                <w:szCs w:val="20"/>
                <w:rtl w:val="0"/>
              </w:rPr>
              <w:t xml:space="preserve">FREQUENT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2"/>
                <w:szCs w:val="12"/>
                <w:rtl w:val="0"/>
              </w:rPr>
              <w:t xml:space="preserve">(2/3 OF WORK DAY)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Standing/Walking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Sitting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Handle/Feel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Reach/Push/Pull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Bend/Stoop/Crouch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Kneel/Crawl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Climb/Balance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Lift/Carry (check weight and frequency)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Up to 10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Up to 20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Up to 50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Up to 100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Over 100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rPr>
          <w:rFonts w:ascii="Lora" w:cs="Lora" w:eastAsia="Lora" w:hAnsi="Lora"/>
          <w:b w:val="1"/>
          <w:bCs w:val="1"/>
          <w:color w:val="26255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36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nm0fl7HG85mdj5S50qg55+8BQ==">CgMxLjA4AHIhMWY1R1FZc3hKOEU0cHU4YTNIS0EwWXRNODB2QUhUYUR3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