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right="-1800"/>
        <w:rPr>
          <w:rFonts w:ascii="Lora" w:cs="Lora" w:eastAsia="Lora" w:hAnsi="Lora"/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57150" distT="57150" distL="57150" distR="57150" hidden="0" layoutInCell="1" locked="0" relativeHeight="0" simplePos="0">
            <wp:simplePos x="0" y="0"/>
            <wp:positionH relativeFrom="column">
              <wp:posOffset>-171447</wp:posOffset>
            </wp:positionH>
            <wp:positionV relativeFrom="paragraph">
              <wp:posOffset>57150</wp:posOffset>
            </wp:positionV>
            <wp:extent cx="1052513" cy="1434675"/>
            <wp:effectExtent b="0" l="0" r="0" t="0"/>
            <wp:wrapNone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15002"/>
                    <a:stretch>
                      <a:fillRect/>
                    </a:stretch>
                  </pic:blipFill>
                  <pic:spPr>
                    <a:xfrm>
                      <a:off x="0" y="0"/>
                      <a:ext cx="1052513" cy="14346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9570.0" w:type="dxa"/>
        <w:jc w:val="left"/>
        <w:tblInd w:w="-1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20"/>
        <w:gridCol w:w="3840"/>
        <w:gridCol w:w="3810"/>
        <w:tblGridChange w:id="0">
          <w:tblGrid>
            <w:gridCol w:w="1920"/>
            <w:gridCol w:w="3840"/>
            <w:gridCol w:w="3810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jc w:val="left"/>
              <w:rPr>
                <w:rFonts w:ascii="Lora Medium" w:cs="Lora Medium" w:eastAsia="Lora Medium" w:hAnsi="Lora Medium"/>
                <w:color w:val="00004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Lora" w:cs="Lora" w:eastAsia="Lora" w:hAnsi="Lor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18"/>
                <w:szCs w:val="18"/>
                <w:rtl w:val="0"/>
              </w:rPr>
              <w:t xml:space="preserve">JOB TITLE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rFonts w:ascii="Lora Medium" w:cs="Lora Medium" w:eastAsia="Lora Medium" w:hAnsi="Lora Medium"/>
                <w:color w:val="000036"/>
                <w:sz w:val="18"/>
                <w:szCs w:val="18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color w:val="000036"/>
                <w:sz w:val="18"/>
                <w:szCs w:val="18"/>
                <w:rtl w:val="0"/>
              </w:rPr>
              <w:t xml:space="preserve">Secretary- High School Counselor Department 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ora Medium" w:cs="Lora Medium" w:eastAsia="Lora Medium" w:hAnsi="Lora Medium"/>
                <w:color w:val="00003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Lora" w:cs="Lora" w:eastAsia="Lora" w:hAnsi="Lor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18"/>
                <w:szCs w:val="18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rFonts w:ascii="Lora Medium" w:cs="Lora Medium" w:eastAsia="Lora Medium" w:hAnsi="Lora Medium"/>
                <w:color w:val="000036"/>
                <w:sz w:val="18"/>
                <w:szCs w:val="18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color w:val="000036"/>
                <w:sz w:val="18"/>
                <w:szCs w:val="18"/>
                <w:rtl w:val="0"/>
              </w:rPr>
              <w:t xml:space="preserve">Building Principal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ora Medium" w:cs="Lora Medium" w:eastAsia="Lora Medium" w:hAnsi="Lora Medium"/>
                <w:color w:val="00003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Lora" w:cs="Lora" w:eastAsia="Lora" w:hAnsi="Lor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18"/>
                <w:szCs w:val="18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rFonts w:ascii="Lora Medium" w:cs="Lora Medium" w:eastAsia="Lora Medium" w:hAnsi="Lora Medium"/>
                <w:color w:val="000036"/>
                <w:sz w:val="18"/>
                <w:szCs w:val="18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color w:val="000036"/>
                <w:sz w:val="18"/>
                <w:szCs w:val="18"/>
                <w:rtl w:val="0"/>
              </w:rPr>
              <w:t xml:space="preserve">Classified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ora Medium" w:cs="Lora Medium" w:eastAsia="Lora Medium" w:hAnsi="Lora Medium"/>
                <w:color w:val="00003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Lora" w:cs="Lora" w:eastAsia="Lora" w:hAnsi="Lor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18"/>
                <w:szCs w:val="18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Lora Medium" w:cs="Lora Medium" w:eastAsia="Lora Medium" w:hAnsi="Lora Medium"/>
                <w:color w:val="000036"/>
                <w:sz w:val="18"/>
                <w:szCs w:val="18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color w:val="000036"/>
                <w:sz w:val="18"/>
                <w:szCs w:val="18"/>
                <w:rtl w:val="0"/>
              </w:rPr>
              <w:t xml:space="preserve">200 days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ora Medium" w:cs="Lora Medium" w:eastAsia="Lora Medium" w:hAnsi="Lora Medium"/>
                <w:color w:val="00003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Lora" w:cs="Lora" w:eastAsia="Lora" w:hAnsi="Lor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18"/>
                <w:szCs w:val="18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rFonts w:ascii="Lora Medium" w:cs="Lora Medium" w:eastAsia="Lora Medium" w:hAnsi="Lora Medium"/>
                <w:color w:val="000036"/>
                <w:sz w:val="18"/>
                <w:szCs w:val="18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color w:val="000036"/>
                <w:sz w:val="18"/>
                <w:szCs w:val="18"/>
                <w:rtl w:val="0"/>
              </w:rPr>
              <w:t xml:space="preserve">7776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ora Medium" w:cs="Lora Medium" w:eastAsia="Lora Medium" w:hAnsi="Lora Medium"/>
                <w:color w:val="00003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Lora" w:cs="Lora" w:eastAsia="Lora" w:hAnsi="Lor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18"/>
                <w:szCs w:val="18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Lora Medium" w:cs="Lora Medium" w:eastAsia="Lora Medium" w:hAnsi="Lora Medium"/>
                <w:color w:val="000036"/>
                <w:sz w:val="18"/>
                <w:szCs w:val="18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color w:val="000036"/>
                <w:sz w:val="18"/>
                <w:szCs w:val="18"/>
                <w:rtl w:val="0"/>
              </w:rPr>
              <w:t xml:space="preserve">Classified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ora Medium" w:cs="Lora Medium" w:eastAsia="Lora Medium" w:hAnsi="Lora Medium"/>
                <w:color w:val="00003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Lora" w:cs="Lora" w:eastAsia="Lora" w:hAnsi="Lor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18"/>
                <w:szCs w:val="18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rFonts w:ascii="Lora Medium" w:cs="Lora Medium" w:eastAsia="Lora Medium" w:hAnsi="Lora Medium"/>
                <w:color w:val="00003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spacing w:line="240" w:lineRule="auto"/>
        <w:rPr>
          <w:rFonts w:ascii="Lora" w:cs="Lora" w:eastAsia="Lora" w:hAnsi="Lor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35.0" w:type="dxa"/>
        <w:jc w:val="left"/>
        <w:tblInd w:w="-2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35"/>
        <w:tblGridChange w:id="0">
          <w:tblGrid>
            <w:gridCol w:w="97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Lora" w:cs="Lora" w:eastAsia="Lora" w:hAnsi="Lora"/>
                <w:b w:val="1"/>
                <w:bCs w:val="1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rtl w:val="0"/>
              </w:rPr>
              <w:t xml:space="preserve">QUALIFICATIONS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tabs>
                <w:tab w:val="right" w:leader="none" w:pos="360"/>
                <w:tab w:val="left" w:leader="none" w:pos="630"/>
              </w:tabs>
              <w:spacing w:line="240" w:lineRule="auto"/>
              <w:rPr>
                <w:rFonts w:ascii="Lora Medium" w:cs="Lora Medium" w:eastAsia="Lora Medium" w:hAnsi="Lora Medium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As Established by the board of Education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line="240" w:lineRule="auto"/>
        <w:rPr>
          <w:rFonts w:ascii="Lora" w:cs="Lora" w:eastAsia="Lora" w:hAnsi="Lor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50.0" w:type="dxa"/>
        <w:jc w:val="left"/>
        <w:tblInd w:w="-28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50"/>
        <w:tblGridChange w:id="0">
          <w:tblGrid>
            <w:gridCol w:w="97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rFonts w:ascii="Lora" w:cs="Lora" w:eastAsia="Lora" w:hAnsi="Lora"/>
                <w:b w:val="1"/>
                <w:bCs w:val="1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rtl w:val="0"/>
              </w:rPr>
              <w:t xml:space="preserve">POSITION SUMMARY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tabs>
                <w:tab w:val="right" w:leader="none" w:pos="360"/>
                <w:tab w:val="left" w:leader="none" w:pos="540"/>
                <w:tab w:val="left" w:leader="none" w:pos="900"/>
              </w:tabs>
              <w:spacing w:line="240" w:lineRule="auto"/>
              <w:jc w:val="both"/>
              <w:rPr>
                <w:rFonts w:ascii="Lora Medium" w:cs="Lora Medium" w:eastAsia="Lora Medium" w:hAnsi="Lora Medium"/>
                <w:sz w:val="16"/>
                <w:szCs w:val="16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To assure smooth and efficient operation of the high school guidance office so that the office's maximum positive impact on the education of the children can be realized.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line="240" w:lineRule="auto"/>
        <w:rPr>
          <w:rFonts w:ascii="Lora" w:cs="Lora" w:eastAsia="Lora" w:hAnsi="Lor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35.0" w:type="dxa"/>
        <w:jc w:val="left"/>
        <w:tblInd w:w="-2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35"/>
        <w:tblGridChange w:id="0">
          <w:tblGrid>
            <w:gridCol w:w="9735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rFonts w:ascii="Lora" w:cs="Lora" w:eastAsia="Lora" w:hAnsi="Lora"/>
                <w:b w:val="1"/>
                <w:bCs w:val="1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rtl w:val="0"/>
              </w:rPr>
              <w:t xml:space="preserve">PERFORMANCE RESPONSIBILITIES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1F">
            <w:pPr>
              <w:tabs>
                <w:tab w:val="right" w:leader="none" w:pos="360"/>
                <w:tab w:val="left" w:leader="none" w:pos="540"/>
                <w:tab w:val="left" w:leader="none" w:pos="900"/>
              </w:tabs>
              <w:spacing w:line="240" w:lineRule="auto"/>
              <w:jc w:val="both"/>
              <w:rPr>
                <w:rFonts w:ascii="Lora Medium" w:cs="Lora Medium" w:eastAsia="Lora Medium" w:hAnsi="Lora Medium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Acts as a receptionist in the school counselor office.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20">
            <w:pPr>
              <w:tabs>
                <w:tab w:val="right" w:leader="none" w:pos="360"/>
                <w:tab w:val="left" w:leader="none" w:pos="540"/>
                <w:tab w:val="left" w:leader="none" w:pos="900"/>
              </w:tabs>
              <w:spacing w:line="240" w:lineRule="auto"/>
              <w:ind w:left="0" w:firstLine="0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Types all correspondence for counselors, as well as letters of recommendations per teacher’s requests, files, answers calls, and delivers messages.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21">
            <w:pPr>
              <w:tabs>
                <w:tab w:val="right" w:leader="none" w:pos="360"/>
                <w:tab w:val="left" w:leader="none" w:pos="540"/>
                <w:tab w:val="left" w:leader="none" w:pos="900"/>
              </w:tabs>
              <w:spacing w:line="240" w:lineRule="auto"/>
              <w:ind w:left="0" w:firstLine="0"/>
              <w:rPr>
                <w:rFonts w:ascii="Lora Medium" w:cs="Lora Medium" w:eastAsia="Lora Medium" w:hAnsi="Lora Medium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Assists college representatives and parents while processing all incoming career education materials, assisting students with the use of said materials and maintains a file on all materials.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22">
            <w:pPr>
              <w:tabs>
                <w:tab w:val="right" w:leader="none" w:pos="360"/>
                <w:tab w:val="left" w:leader="none" w:pos="540"/>
                <w:tab w:val="left" w:leader="none" w:pos="900"/>
              </w:tabs>
              <w:spacing w:line="240" w:lineRule="auto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Serve as the Senior Sponsor and its responsibilities and holds the responsibility of ordering graduation supplies including caps and gowns.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23">
            <w:pPr>
              <w:tabs>
                <w:tab w:val="right" w:leader="none" w:pos="360"/>
                <w:tab w:val="left" w:leader="none" w:pos="540"/>
                <w:tab w:val="left" w:leader="none" w:pos="900"/>
              </w:tabs>
              <w:spacing w:line="240" w:lineRule="auto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Oversees use of the Parchment program and processes all electronic requests for transcripts.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24">
            <w:pPr>
              <w:tabs>
                <w:tab w:val="right" w:leader="none" w:pos="360"/>
                <w:tab w:val="left" w:leader="none" w:pos="540"/>
                <w:tab w:val="left" w:leader="none" w:pos="900"/>
              </w:tabs>
              <w:spacing w:line="240" w:lineRule="auto"/>
              <w:ind w:left="0" w:firstLine="0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Assists in testing during school hours and when requested.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25">
            <w:pPr>
              <w:tabs>
                <w:tab w:val="right" w:leader="none" w:pos="360"/>
                <w:tab w:val="left" w:leader="none" w:pos="540"/>
                <w:tab w:val="left" w:leader="none" w:pos="900"/>
              </w:tabs>
              <w:spacing w:line="240" w:lineRule="auto"/>
              <w:jc w:val="both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Assists school secretary in requesting school records of new students and in sending school records on students who transfer to/from the system.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26">
            <w:pPr>
              <w:tabs>
                <w:tab w:val="right" w:leader="none" w:pos="360"/>
                <w:tab w:val="left" w:leader="none" w:pos="540"/>
                <w:tab w:val="left" w:leader="none" w:pos="900"/>
              </w:tabs>
              <w:spacing w:line="240" w:lineRule="auto"/>
              <w:jc w:val="both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Leads the filing of reports, enrollment paperwork, etc. in student files as directed by the immediate supervisor and counseling office.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27">
            <w:pPr>
              <w:tabs>
                <w:tab w:val="right" w:leader="none" w:pos="360"/>
                <w:tab w:val="left" w:leader="none" w:pos="540"/>
                <w:tab w:val="left" w:leader="none" w:pos="900"/>
              </w:tabs>
              <w:spacing w:line="240" w:lineRule="auto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Completes and maintains KEES reports at end of each school year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28">
            <w:pPr>
              <w:tabs>
                <w:tab w:val="right" w:leader="none" w:pos="360"/>
                <w:tab w:val="left" w:leader="none" w:pos="540"/>
                <w:tab w:val="left" w:leader="none" w:pos="900"/>
              </w:tabs>
              <w:spacing w:line="240" w:lineRule="auto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Assists in attending to the senior class by filling out senior Lack Cards, processing a weekly senior newsletter with scholarship and other information pertaining to seniors, and processing all paperwork on college admission for students, mid-year  reports and end-of-year transcripts.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29">
            <w:pPr>
              <w:tabs>
                <w:tab w:val="right" w:leader="none" w:pos="360"/>
                <w:tab w:val="left" w:leader="none" w:pos="540"/>
                <w:tab w:val="left" w:leader="none" w:pos="900"/>
              </w:tabs>
              <w:spacing w:line="240" w:lineRule="auto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ab/>
              <w:t xml:space="preserve">Schedules appointments for college representatives to visit the school, as well as parent/teacher conferences.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2A">
            <w:pPr>
              <w:tabs>
                <w:tab w:val="right" w:leader="none" w:pos="360"/>
                <w:tab w:val="left" w:leader="none" w:pos="540"/>
                <w:tab w:val="left" w:leader="none" w:pos="900"/>
              </w:tabs>
              <w:spacing w:line="240" w:lineRule="auto"/>
              <w:ind w:left="0" w:firstLine="0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Coordinates Lions, Rotary, and Optimist Club student guests, as well as serves as the liaison between the Counselor Office and Community involvement in scholarship programs.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tabs>
                <w:tab w:val="right" w:leader="none" w:pos="360"/>
                <w:tab w:val="left" w:leader="none" w:pos="540"/>
                <w:tab w:val="left" w:leader="none" w:pos="900"/>
              </w:tabs>
              <w:spacing w:line="240" w:lineRule="auto"/>
              <w:rPr>
                <w:rFonts w:ascii="Lora Medium" w:cs="Lora Medium" w:eastAsia="Lora Medium" w:hAnsi="Lora Medium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Performs other duties as assigned by the Counselors and/or Assistant Principal(s), and Principal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line="240" w:lineRule="auto"/>
        <w:rPr>
          <w:rFonts w:ascii="Lora" w:cs="Lora" w:eastAsia="Lora" w:hAnsi="Lor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rPr>
          <w:rFonts w:ascii="Lora" w:cs="Lora" w:eastAsia="Lora" w:hAnsi="Lor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rPr>
          <w:rFonts w:ascii="Lora" w:cs="Lora" w:eastAsia="Lora" w:hAnsi="Lor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rPr>
          <w:rFonts w:ascii="Lora" w:cs="Lora" w:eastAsia="Lora" w:hAnsi="Lor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rPr>
          <w:rFonts w:ascii="Lora" w:cs="Lora" w:eastAsia="Lora" w:hAnsi="Lor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rPr>
          <w:rFonts w:ascii="Lora" w:cs="Lora" w:eastAsia="Lora" w:hAnsi="Lor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rPr>
          <w:rFonts w:ascii="Lora" w:cs="Lora" w:eastAsia="Lora" w:hAnsi="Lora"/>
          <w:b w:val="1"/>
          <w:bCs w:val="1"/>
          <w:sz w:val="20"/>
          <w:szCs w:val="20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0"/>
          <w:szCs w:val="20"/>
        </w:rPr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638176</wp:posOffset>
                </wp:positionH>
                <wp:positionV relativeFrom="page">
                  <wp:posOffset>9477121</wp:posOffset>
                </wp:positionV>
                <wp:extent cx="6300847" cy="328866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226700" y="3579900"/>
                          <a:ext cx="8238600" cy="4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ora" w:cs="Lora" w:eastAsia="Lora" w:hAnsi="Lora"/>
                                <w:b w:val="1"/>
                                <w:i w:val="0"/>
                                <w:smallCaps w:val="0"/>
                                <w:strike w:val="0"/>
                                <w:color w:val="26255e"/>
                                <w:sz w:val="28"/>
                                <w:vertAlign w:val="baseline"/>
                              </w:rPr>
                              <w:t xml:space="preserve">219 HELM STREET | ELIZABETHTOWN, KY 42701 | ETOWN.KYSCHOOLS.US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|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Lora" w:cs="Lora" w:eastAsia="Lora" w:hAnsi="Lora"/>
                                <w:b w:val="1"/>
                                <w:i w:val="0"/>
                                <w:smallCaps w:val="0"/>
                                <w:strike w:val="0"/>
                                <w:color w:val="26255e"/>
                                <w:sz w:val="28"/>
                                <w:vertAlign w:val="baseline"/>
                              </w:rPr>
                              <w:t xml:space="preserve">P: 270.765.6146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638176</wp:posOffset>
                </wp:positionH>
                <wp:positionV relativeFrom="page">
                  <wp:posOffset>9477121</wp:posOffset>
                </wp:positionV>
                <wp:extent cx="6300847" cy="328866"/>
                <wp:effectExtent b="0" l="0" r="0" t="0"/>
                <wp:wrapNone/>
                <wp:docPr id="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00847" cy="32886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tbl>
      <w:tblPr>
        <w:tblStyle w:val="Table5"/>
        <w:tblW w:w="9735.0" w:type="dxa"/>
        <w:jc w:val="left"/>
        <w:tblInd w:w="-2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35"/>
        <w:tblGridChange w:id="0">
          <w:tblGrid>
            <w:gridCol w:w="97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rFonts w:ascii="Lora" w:cs="Lora" w:eastAsia="Lora" w:hAnsi="Lora"/>
                <w:b w:val="1"/>
                <w:bCs w:val="1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rtl w:val="0"/>
              </w:rPr>
              <w:t xml:space="preserve">KNOWLEDGE AND ABILITIES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Lora Medium" w:cs="Lora Medium" w:eastAsia="Lora Medium" w:hAnsi="Lora Medium"/>
                <w:sz w:val="20"/>
                <w:szCs w:val="20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sz w:val="20"/>
                <w:szCs w:val="20"/>
                <w:rtl w:val="0"/>
              </w:rPr>
              <w:t xml:space="preserve">Record keeping.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Lora Medium" w:cs="Lora Medium" w:eastAsia="Lora Medium" w:hAnsi="Lora Medium"/>
                <w:sz w:val="20"/>
                <w:szCs w:val="20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sz w:val="20"/>
                <w:szCs w:val="20"/>
                <w:rtl w:val="0"/>
              </w:rPr>
              <w:t xml:space="preserve">Operation of computer and other technology.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Lora Medium" w:cs="Lora Medium" w:eastAsia="Lora Medium" w:hAnsi="Lora Medium"/>
                <w:sz w:val="20"/>
                <w:szCs w:val="20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sz w:val="20"/>
                <w:szCs w:val="20"/>
                <w:rtl w:val="0"/>
              </w:rPr>
              <w:t xml:space="preserve">Verbal and written communication skills.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Lora Medium" w:cs="Lora Medium" w:eastAsia="Lora Medium" w:hAnsi="Lora Medium"/>
                <w:sz w:val="20"/>
                <w:szCs w:val="20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sz w:val="20"/>
                <w:szCs w:val="20"/>
                <w:rtl w:val="0"/>
              </w:rPr>
              <w:t xml:space="preserve">Laws, rules and statutory regulations related to assigned activities.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Lora Medium" w:cs="Lora Medium" w:eastAsia="Lora Medium" w:hAnsi="Lora Medium"/>
                <w:sz w:val="20"/>
                <w:szCs w:val="20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sz w:val="20"/>
                <w:szCs w:val="20"/>
                <w:rtl w:val="0"/>
              </w:rPr>
              <w:t xml:space="preserve">Policies and objectives of assigned program and activities.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Lora Medium" w:cs="Lora Medium" w:eastAsia="Lora Medium" w:hAnsi="Lora Medium"/>
                <w:sz w:val="20"/>
                <w:szCs w:val="20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sz w:val="20"/>
                <w:szCs w:val="20"/>
                <w:rtl w:val="0"/>
              </w:rPr>
              <w:t xml:space="preserve">Prioritize and schedule work.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Lora Medium" w:cs="Lora Medium" w:eastAsia="Lora Medium" w:hAnsi="Lora Medium"/>
                <w:sz w:val="20"/>
                <w:szCs w:val="20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sz w:val="20"/>
                <w:szCs w:val="20"/>
                <w:rtl w:val="0"/>
              </w:rPr>
              <w:t xml:space="preserve">Determine appropriate action within clearly defined guidelines.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Lora Medium" w:cs="Lora Medium" w:eastAsia="Lora Medium" w:hAnsi="Lora Medium"/>
                <w:sz w:val="20"/>
                <w:szCs w:val="20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sz w:val="20"/>
                <w:szCs w:val="20"/>
                <w:rtl w:val="0"/>
              </w:rPr>
              <w:t xml:space="preserve">Meet schedules and timelines.</w:t>
            </w:r>
          </w:p>
        </w:tc>
      </w:tr>
    </w:tbl>
    <w:p w:rsidR="00000000" w:rsidDel="00000000" w:rsidP="00000000" w:rsidRDefault="00000000" w:rsidRPr="00000000" w14:paraId="0000003C">
      <w:pPr>
        <w:spacing w:line="240" w:lineRule="auto"/>
        <w:rPr>
          <w:rFonts w:ascii="Lora" w:cs="Lora" w:eastAsia="Lora" w:hAnsi="Lora"/>
          <w:b w:val="1"/>
          <w:bCs w:val="1"/>
          <w:sz w:val="20"/>
          <w:szCs w:val="20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D">
      <w:pPr>
        <w:spacing w:line="240" w:lineRule="auto"/>
        <w:rPr>
          <w:rFonts w:ascii="Lora" w:cs="Lora" w:eastAsia="Lora" w:hAnsi="Lora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80.0" w:type="dxa"/>
        <w:jc w:val="left"/>
        <w:tblInd w:w="-28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95"/>
        <w:gridCol w:w="1755"/>
        <w:gridCol w:w="1785"/>
        <w:gridCol w:w="1845"/>
        <w:gridCol w:w="1800"/>
        <w:tblGridChange w:id="0">
          <w:tblGrid>
            <w:gridCol w:w="2595"/>
            <w:gridCol w:w="1755"/>
            <w:gridCol w:w="1785"/>
            <w:gridCol w:w="1845"/>
            <w:gridCol w:w="1800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5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rFonts w:ascii="Lora" w:cs="Lora" w:eastAsia="Lora" w:hAnsi="Lor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18"/>
                <w:szCs w:val="18"/>
                <w:rtl w:val="0"/>
              </w:rPr>
              <w:t xml:space="preserve">PHYSICAL DEMANDS</w:t>
            </w:r>
          </w:p>
        </w:tc>
      </w:tr>
      <w:tr>
        <w:trPr>
          <w:cantSplit w:val="0"/>
          <w:trHeight w:val="433.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rFonts w:ascii="Lora" w:cs="Lora" w:eastAsia="Lora" w:hAnsi="Lor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18"/>
                <w:szCs w:val="18"/>
                <w:rtl w:val="0"/>
              </w:rPr>
              <w:t xml:space="preserve">SELDOM/RARE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rFonts w:ascii="Lora" w:cs="Lora" w:eastAsia="Lora" w:hAnsi="Lor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18"/>
                <w:szCs w:val="18"/>
                <w:rtl w:val="0"/>
              </w:rPr>
              <w:t xml:space="preserve">OCCASIONAL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rFonts w:ascii="Lora" w:cs="Lora" w:eastAsia="Lora" w:hAnsi="Lora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10"/>
                <w:szCs w:val="10"/>
                <w:rtl w:val="0"/>
              </w:rPr>
              <w:t xml:space="preserve">(UP TO 1/3 OF WORK DAY)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rFonts w:ascii="Lora" w:cs="Lora" w:eastAsia="Lora" w:hAnsi="Lor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18"/>
                <w:szCs w:val="18"/>
                <w:rtl w:val="0"/>
              </w:rPr>
              <w:t xml:space="preserve">FREQUENT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10"/>
                <w:szCs w:val="10"/>
                <w:rtl w:val="0"/>
              </w:rPr>
              <w:t xml:space="preserve">(1/3 TO 2/3  OF WORK DAY)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rFonts w:ascii="Lora" w:cs="Lora" w:eastAsia="Lora" w:hAnsi="Lor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18"/>
                <w:szCs w:val="18"/>
                <w:rtl w:val="0"/>
              </w:rPr>
              <w:t xml:space="preserve">FREQUENT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10"/>
                <w:szCs w:val="10"/>
                <w:rtl w:val="0"/>
              </w:rPr>
              <w:t xml:space="preserve">(2/3 OF WORK DAY)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.995777621393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Fonts w:ascii="Lora" w:cs="Lora" w:eastAsia="Lora" w:hAnsi="Lora"/>
                <w:sz w:val="18"/>
                <w:szCs w:val="18"/>
                <w:rtl w:val="0"/>
              </w:rPr>
              <w:t xml:space="preserve">Standing/Walking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numPr>
                <w:ilvl w:val="0"/>
                <w:numId w:val="10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numPr>
                <w:ilvl w:val="0"/>
                <w:numId w:val="10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numPr>
                <w:ilvl w:val="0"/>
                <w:numId w:val="10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numPr>
                <w:ilvl w:val="0"/>
                <w:numId w:val="10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.995777621393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Fonts w:ascii="Lora" w:cs="Lora" w:eastAsia="Lora" w:hAnsi="Lora"/>
                <w:sz w:val="18"/>
                <w:szCs w:val="18"/>
                <w:rtl w:val="0"/>
              </w:rPr>
              <w:t xml:space="preserve">Sitting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.995777621393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Fonts w:ascii="Lora" w:cs="Lora" w:eastAsia="Lora" w:hAnsi="Lora"/>
                <w:sz w:val="18"/>
                <w:szCs w:val="18"/>
                <w:rtl w:val="0"/>
              </w:rPr>
              <w:t xml:space="preserve">Handle/Feel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.995777621393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Fonts w:ascii="Lora" w:cs="Lora" w:eastAsia="Lora" w:hAnsi="Lora"/>
                <w:sz w:val="18"/>
                <w:szCs w:val="18"/>
                <w:rtl w:val="0"/>
              </w:rPr>
              <w:t xml:space="preserve">Reach/Push/Pull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numPr>
                <w:ilvl w:val="0"/>
                <w:numId w:val="9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numPr>
                <w:ilvl w:val="0"/>
                <w:numId w:val="9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numPr>
                <w:ilvl w:val="0"/>
                <w:numId w:val="9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numPr>
                <w:ilvl w:val="0"/>
                <w:numId w:val="9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.995777621393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Fonts w:ascii="Lora" w:cs="Lora" w:eastAsia="Lora" w:hAnsi="Lora"/>
                <w:sz w:val="18"/>
                <w:szCs w:val="18"/>
                <w:rtl w:val="0"/>
              </w:rPr>
              <w:t xml:space="preserve">Bend/Stoop/Crouch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numPr>
                <w:ilvl w:val="0"/>
                <w:numId w:val="12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numPr>
                <w:ilvl w:val="0"/>
                <w:numId w:val="12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numPr>
                <w:ilvl w:val="0"/>
                <w:numId w:val="12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numPr>
                <w:ilvl w:val="0"/>
                <w:numId w:val="12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.995777621393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Fonts w:ascii="Lora" w:cs="Lora" w:eastAsia="Lora" w:hAnsi="Lora"/>
                <w:sz w:val="18"/>
                <w:szCs w:val="18"/>
                <w:rtl w:val="0"/>
              </w:rPr>
              <w:t xml:space="preserve">Kneel/Crawl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.995777621393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Fonts w:ascii="Lora" w:cs="Lora" w:eastAsia="Lora" w:hAnsi="Lora"/>
                <w:sz w:val="18"/>
                <w:szCs w:val="18"/>
                <w:rtl w:val="0"/>
              </w:rPr>
              <w:t xml:space="preserve">Climb/Balance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.4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Fonts w:ascii="Lora" w:cs="Lora" w:eastAsia="Lora" w:hAnsi="Lora"/>
                <w:sz w:val="18"/>
                <w:szCs w:val="18"/>
                <w:rtl w:val="0"/>
              </w:rPr>
              <w:t xml:space="preserve">Lift/Carry (check weight and frequency)</w:t>
            </w:r>
          </w:p>
        </w:tc>
      </w:tr>
      <w:tr>
        <w:trPr>
          <w:cantSplit w:val="0"/>
          <w:trHeight w:val="365.995777621393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Fonts w:ascii="Lora" w:cs="Lora" w:eastAsia="Lora" w:hAnsi="Lora"/>
                <w:sz w:val="18"/>
                <w:szCs w:val="18"/>
                <w:rtl w:val="0"/>
              </w:rPr>
              <w:t xml:space="preserve">Up to 10 lbs.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strike w:val="1"/>
                <w:rtl w:val="0"/>
              </w:rPr>
            </w:r>
          </w:p>
        </w:tc>
      </w:tr>
      <w:tr>
        <w:trPr>
          <w:cantSplit w:val="0"/>
          <w:trHeight w:val="365.995777621393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Fonts w:ascii="Lora" w:cs="Lora" w:eastAsia="Lora" w:hAnsi="Lora"/>
                <w:sz w:val="18"/>
                <w:szCs w:val="18"/>
                <w:rtl w:val="0"/>
              </w:rPr>
              <w:t xml:space="preserve">Up to 20 lbs.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strike w:val="1"/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.995777621393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Fonts w:ascii="Lora" w:cs="Lora" w:eastAsia="Lora" w:hAnsi="Lora"/>
                <w:sz w:val="18"/>
                <w:szCs w:val="18"/>
                <w:rtl w:val="0"/>
              </w:rPr>
              <w:t xml:space="preserve">Up to 50 lbs.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strike w:val="1"/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.995777621393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Fonts w:ascii="Lora" w:cs="Lora" w:eastAsia="Lora" w:hAnsi="Lora"/>
                <w:sz w:val="18"/>
                <w:szCs w:val="18"/>
                <w:rtl w:val="0"/>
              </w:rPr>
              <w:t xml:space="preserve">Up to 100 lbs.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strike w:val="1"/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.995777621393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Fonts w:ascii="Lora" w:cs="Lora" w:eastAsia="Lora" w:hAnsi="Lora"/>
                <w:sz w:val="18"/>
                <w:szCs w:val="18"/>
                <w:rtl w:val="0"/>
              </w:rPr>
              <w:t xml:space="preserve">Over 100 lbs.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numPr>
                <w:ilvl w:val="0"/>
                <w:numId w:val="11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strike w:val="1"/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numPr>
                <w:ilvl w:val="0"/>
                <w:numId w:val="11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numPr>
                <w:ilvl w:val="0"/>
                <w:numId w:val="11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numPr>
                <w:ilvl w:val="0"/>
                <w:numId w:val="11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spacing w:line="240" w:lineRule="auto"/>
        <w:rPr>
          <w:rFonts w:ascii="Lora" w:cs="Lora" w:eastAsia="Lora" w:hAnsi="Lora"/>
          <w:b w:val="1"/>
          <w:bCs w:val="1"/>
          <w:sz w:val="20"/>
          <w:szCs w:val="20"/>
        </w:rPr>
      </w:pPr>
      <w:r w:rsidDel="00000000" w:rsidR="00000000" w:rsidRPr="00000000">
        <w:rPr>
          <w:rFonts w:ascii="Lora" w:cs="Lora" w:eastAsia="Lora" w:hAnsi="Lora"/>
          <w:sz w:val="20"/>
          <w:szCs w:val="20"/>
          <w:rtl w:val="0"/>
        </w:rPr>
        <w:t xml:space="preserve">         </w:t>
      </w:r>
      <w:r w:rsidDel="00000000" w:rsidR="00000000" w:rsidRPr="00000000">
        <w:rPr>
          <w:rtl w:val="0"/>
        </w:rPr>
      </w:r>
    </w:p>
    <w:sectPr>
      <w:footerReference r:id="rId9" w:type="default"/>
      <w:pgSz w:h="15840" w:w="12240" w:orient="portrait"/>
      <w:pgMar w:bottom="1440" w:top="360" w:left="144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ora Mediu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ora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D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oraMedium-regular.ttf"/><Relationship Id="rId2" Type="http://schemas.openxmlformats.org/officeDocument/2006/relationships/font" Target="fonts/LoraMedium-bold.ttf"/><Relationship Id="rId3" Type="http://schemas.openxmlformats.org/officeDocument/2006/relationships/font" Target="fonts/LoraMedium-italic.ttf"/><Relationship Id="rId4" Type="http://schemas.openxmlformats.org/officeDocument/2006/relationships/font" Target="fonts/LoraMedium-boldItalic.ttf"/><Relationship Id="rId5" Type="http://schemas.openxmlformats.org/officeDocument/2006/relationships/font" Target="fonts/Lora-regular.ttf"/><Relationship Id="rId6" Type="http://schemas.openxmlformats.org/officeDocument/2006/relationships/font" Target="fonts/Lora-bold.ttf"/><Relationship Id="rId7" Type="http://schemas.openxmlformats.org/officeDocument/2006/relationships/font" Target="fonts/Lora-italic.ttf"/><Relationship Id="rId8" Type="http://schemas.openxmlformats.org/officeDocument/2006/relationships/font" Target="fonts/Lor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4CvEIxLpzSxXb7yVPfUHO7GPWA==">CgMxLjA4AHIhMUxtSTBXeHhvQWg2OEdPek15RV9EMFlEVUxHX2JocDZj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