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3/12/2026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/ Community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Northern Kentucky Behavioral, LLC dba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 Behavioral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Understanding for School-Based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12, 2026 -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Board Policy 10.3 Relationships with Community Organizations; Strategic Plan Connection: Goal 3, Stakeholder Engagement, Objective 3B (1) Foster relationships with business and community partners, engage in community outreach, and develop alumni connections to strengthen stakeholder engagement.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Crisis Assessment/Level of Care Screening as requested by counselors and approved by parents. Access to Inpatient Hospitalization; Partial Hospitalization; Intensive Outpatient and Alternative referrals, as needed.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that the Board approve the Memorandum of Understanding between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SUN Behavioral and Boone County Schools,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presented.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WSiGlqsN3QfEJ8A3Lr/hvTyCQ==">CgMxLjA4AHIhMS1MckFySi1kdktDNlZfOHRuenFXY0c2cXpnYmxoUGtX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2026-02-19T18:08:00Z</dcterms:created>
  <dc:creator>Staff</dc:creator>
</cp:coreProperties>
</file>