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3/12/2026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Boone County Schools, Ignite Institute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Ludlow Independent Schools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Memorandum of Understanding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bfbfbf"/>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July 1, 2026 – June 30, 2027</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Strategic Plan Connection – Goal 1: World Class Education. “Boone County Schools will ensure all students will receive rigorous and engaging instruction” (1B)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Memorandum of Understanding between Boone County Schools and Ludlow Independent Schools regarding the Ignite Institute.  For the 2026-2027 school year, Ludlow Independent has requested a Memorandum of Understanding in place to ensure that current Ignite students moving into the Ludlow school district will be able to continue their education at Ignite.  The Memorandum outlines the parameters for attendance, curriculum, financial obligations for regional schools who have students in attendance at Ignite.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this Memorandum of Understanding between Boone County Schools and </w:t>
      </w:r>
      <w:r w:rsidDel="00000000" w:rsidR="00000000" w:rsidRPr="00000000">
        <w:rPr>
          <w:rFonts w:ascii="Calibri" w:cs="Calibri" w:eastAsia="Calibri" w:hAnsi="Calibri"/>
          <w:rtl w:val="0"/>
        </w:rPr>
        <w:t xml:space="preserve">Ludlow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Independent Schools, as presented.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 </w:t>
        <w:tab/>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Tara Drysdale, Assistant Superintendent</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5eCDclOTWvyPCLcIL9HeiH//0A==">CgMxLjA4AHIhMWZCZmxfVnBkSlRmem9NakxITVdJSHBtbGQta1NLX2FB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2026-01-29T17:22:00Z</dcterms:created>
  <dc:creator>Staff</dc:creator>
</cp:coreProperties>
</file>