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Bourbon County Board of Education</w:t>
            </w:r>
            <w:r>
              <w:rPr>
                <w:rFonts w:eastAsia="Times New Roman"/>
              </w:rPr>
              <w:br/>
              <w:t>December 18, 2025 6:00 PM</w:t>
            </w:r>
            <w:r>
              <w:rPr>
                <w:rFonts w:eastAsia="Times New Roman"/>
              </w:rPr>
              <w:br/>
              <w:t xml:space="preserve">Bourbon County Schools Central Office </w:t>
            </w:r>
          </w:p>
        </w:tc>
      </w:tr>
    </w:tbl>
    <w:p w:rsidR="00000000" w:rsidRDefault="00A705E2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 : 6:01 PM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Shane Buckler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Bradley Purcell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Amanda Thornberry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</w:p>
        </w:tc>
      </w:tr>
    </w:tbl>
    <w:p w:rsidR="00000000" w:rsidRDefault="00A705E2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Call to Order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Roll Call and Recognition of Guests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Devotional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Adoption of the Agenda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Achievement and Recognition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Student and Staff Recognition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pStyle w:val="NormalWeb"/>
            </w:pPr>
            <w:r>
              <w:t>GED Graduate-Christian Buckler</w:t>
            </w:r>
          </w:p>
          <w:p w:rsidR="00000000" w:rsidRDefault="00A705E2">
            <w:pPr>
              <w:pStyle w:val="NormalWeb"/>
            </w:pPr>
            <w:r>
              <w:t>Colonel Award- Reggie Jackson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Communications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Public Comment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District Reports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Head Start/Preschool Reports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Attendance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Personnel Resignations, Retirements, Transfers, and Employments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pStyle w:val="NormalWeb"/>
            </w:pPr>
            <w:r>
              <w:rPr>
                <w:rStyle w:val="Strong"/>
                <w:u w:val="single"/>
              </w:rPr>
              <w:t>Resignations, Retirements, and Transfers</w:t>
            </w:r>
            <w:r>
              <w:rPr>
                <w:b/>
                <w:bCs/>
                <w:u w:val="single"/>
              </w:rPr>
              <w:br/>
            </w:r>
            <w:r>
              <w:t>Blake Campbell- Resignation</w:t>
            </w:r>
            <w:r>
              <w:br/>
              <w:t>Dakota Bricking-Resignation</w:t>
            </w:r>
            <w:r>
              <w:br/>
            </w:r>
            <w:r w:rsidR="00E155AA">
              <w:t>Sheila Tipton-Retirement</w:t>
            </w:r>
            <w:r w:rsidR="00E155AA">
              <w:br/>
              <w:t>M</w:t>
            </w:r>
            <w:r>
              <w:t>adison Roberts- Transferring-4hr childcare to 7hr childcare</w:t>
            </w:r>
          </w:p>
          <w:p w:rsidR="00000000" w:rsidRPr="00E155AA" w:rsidRDefault="00A705E2" w:rsidP="00E155AA">
            <w:pPr>
              <w:pStyle w:val="NormalWeb"/>
            </w:pPr>
            <w:r>
              <w:rPr>
                <w:rStyle w:val="Strong"/>
                <w:u w:val="single"/>
              </w:rPr>
              <w:t>Certified Employments</w:t>
            </w:r>
            <w:r>
              <w:rPr>
                <w:b/>
                <w:bCs/>
                <w:u w:val="single"/>
              </w:rPr>
              <w:br/>
            </w:r>
            <w:r>
              <w:t>Meghan Staples-Certified Substitute</w:t>
            </w:r>
            <w:r>
              <w:br/>
              <w:t>Tr</w:t>
            </w:r>
            <w:r w:rsidR="00E155AA">
              <w:t>acy Watkins-Certified Substitute</w:t>
            </w:r>
          </w:p>
          <w:p w:rsidR="00000000" w:rsidRDefault="00A705E2" w:rsidP="00E155AA">
            <w:pPr>
              <w:pStyle w:val="NormalWeb"/>
              <w:spacing w:after="240" w:afterAutospacing="0"/>
            </w:pPr>
            <w:r>
              <w:rPr>
                <w:rStyle w:val="Strong"/>
                <w:u w:val="single"/>
              </w:rPr>
              <w:t>Classified Employments</w:t>
            </w:r>
            <w:r>
              <w:rPr>
                <w:b/>
                <w:bCs/>
                <w:u w:val="single"/>
              </w:rPr>
              <w:br/>
            </w:r>
            <w:proofErr w:type="spellStart"/>
            <w:r>
              <w:t>Ketysleidi</w:t>
            </w:r>
            <w:proofErr w:type="spellEnd"/>
            <w:r>
              <w:t xml:space="preserve"> Milo </w:t>
            </w:r>
            <w:proofErr w:type="spellStart"/>
            <w:r>
              <w:t>Dube</w:t>
            </w:r>
            <w:proofErr w:type="spellEnd"/>
            <w:r>
              <w:br/>
              <w:t xml:space="preserve">Benita </w:t>
            </w:r>
            <w:proofErr w:type="spellStart"/>
            <w:r>
              <w:t>Denniston</w:t>
            </w:r>
            <w:proofErr w:type="spellEnd"/>
            <w:r>
              <w:br/>
              <w:t>Mandy Collins</w:t>
            </w:r>
            <w:r>
              <w:br/>
            </w:r>
            <w:proofErr w:type="spellStart"/>
            <w:r>
              <w:t>Jakob</w:t>
            </w:r>
            <w:proofErr w:type="spellEnd"/>
            <w:r>
              <w:t xml:space="preserve"> Banta</w:t>
            </w:r>
            <w:r>
              <w:br/>
              <w:t xml:space="preserve">Lindsay </w:t>
            </w:r>
            <w:proofErr w:type="spellStart"/>
            <w:r>
              <w:t>Hoter</w:t>
            </w:r>
            <w:proofErr w:type="spellEnd"/>
            <w:r>
              <w:br/>
              <w:t>Rob Lowry</w:t>
            </w:r>
            <w:r>
              <w:br/>
              <w:t>Nick Patterson</w:t>
            </w:r>
            <w:r>
              <w:br/>
              <w:t>John Calhoun</w:t>
            </w:r>
            <w:r>
              <w:br/>
            </w:r>
            <w:proofErr w:type="spellStart"/>
            <w:r>
              <w:lastRenderedPageBreak/>
              <w:t>Renay</w:t>
            </w:r>
            <w:proofErr w:type="spellEnd"/>
            <w:r>
              <w:t xml:space="preserve"> Beagle</w:t>
            </w:r>
            <w:r>
              <w:br/>
            </w:r>
            <w:r w:rsidR="00E155AA">
              <w:t>Lynette Burden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III.</w:t>
            </w:r>
            <w:r>
              <w:rPr>
                <w:rFonts w:eastAsia="Times New Roman"/>
              </w:rPr>
              <w:t> Operations Action Items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#89 - Motion Passed:</w:t>
            </w:r>
            <w:r>
              <w:rPr>
                <w:rFonts w:eastAsia="Times New Roman"/>
              </w:rPr>
              <w:t xml:space="preserve"> Approval of the following combined consent agenda items passed with a motion by </w:t>
            </w:r>
            <w:r>
              <w:rPr>
                <w:rFonts w:eastAsia="Times New Roman"/>
              </w:rPr>
              <w:t xml:space="preserve">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Claims and Transfers for Warrant A and B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Approve claims and transfers beginning with Accounts Payable Warrant #121825A for $874,758.50.  </w:t>
            </w:r>
            <w:r>
              <w:rPr>
                <w:rFonts w:eastAsia="Times New Roman"/>
              </w:rPr>
              <w:t xml:space="preserve">Accounts Payable Warrant #121825B for $59,107.99, and the employee deduction register in the amount of $1,600,566.72employee amount and $545,262.80employer amount. The warrants and deductions of the register are to be incorporated into the minutes by this </w:t>
            </w:r>
            <w:r>
              <w:rPr>
                <w:rFonts w:eastAsia="Times New Roman"/>
              </w:rPr>
              <w:t>reference and filed for easy access in the vicinity of the minutes. 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Monthly Financial Report for December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Approve the Monthly Financial Report for December, beginning bank balance of $2,319,512.72 Outstanding checks </w:t>
            </w:r>
            <w:proofErr w:type="spellStart"/>
            <w:r>
              <w:rPr>
                <w:rFonts w:eastAsia="Times New Roman"/>
              </w:rPr>
              <w:t>fo</w:t>
            </w:r>
            <w:proofErr w:type="spellEnd"/>
            <w:r>
              <w:rPr>
                <w:rFonts w:eastAsia="Times New Roman"/>
              </w:rPr>
              <w:t xml:space="preserve"> $843,382.26, deposit transit</w:t>
            </w:r>
            <w:r>
              <w:rPr>
                <w:rFonts w:eastAsia="Times New Roman"/>
              </w:rPr>
              <w:t>, $15.00, and the reconciled bank balance of $1,449,747.40. 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Preschool/Head Start Financial Report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Preschool/Head Start In Kind Report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Preschool/Head Start USDA Report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Preschool/Head Start Monthly Board Report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Preschool/Head Start Credi</w:t>
            </w:r>
            <w:r>
              <w:rPr>
                <w:rFonts w:eastAsia="Times New Roman"/>
              </w:rPr>
              <w:t>t Card Report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Official Minutes For November 20, 2025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FMLA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FMLA for Tara Poe beginning 1/17/2026 through 2/28/2026.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E155AA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FMLA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Elissa Robinson FMLA beginning 12/8/2025-3/2/2026.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Contract with Paxton Patterson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Paxton Patterson Labs offers hands-on, career-focused learning systems that help students explore real-world professions and build practical skills through problem-based activities and authentic equipment. These customizable labs will be used in the middle</w:t>
            </w:r>
            <w:r>
              <w:rPr>
                <w:rFonts w:eastAsia="Times New Roman"/>
              </w:rPr>
              <w:t xml:space="preserve"> school to engage learners in the following areas that align to our HS pathways and Harrison County ATC pathways:  Veterinary Medicine, Energy and Power, Environment and Ecology (Plant Science), Design and Marketing, CAD &amp; Design, Plumbing/Electrical, Weld</w:t>
            </w:r>
            <w:r>
              <w:rPr>
                <w:rFonts w:eastAsia="Times New Roman"/>
              </w:rPr>
              <w:t>ing, Health Science, Nursing, Sports Medicine, Computer Graphics/Game Design</w:t>
            </w:r>
            <w:proofErr w:type="gramStart"/>
            <w:r>
              <w:rPr>
                <w:rFonts w:eastAsia="Times New Roman"/>
              </w:rPr>
              <w:t>, ,</w:t>
            </w:r>
            <w:proofErr w:type="gramEnd"/>
            <w:r>
              <w:rPr>
                <w:rFonts w:eastAsia="Times New Roman"/>
              </w:rPr>
              <w:t xml:space="preserve"> Robotics, Digital Manufacturing, EMT, and Occupational Health &amp; Safety.  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M.</w:t>
            </w:r>
            <w:r>
              <w:rPr>
                <w:rFonts w:eastAsia="Times New Roman"/>
              </w:rPr>
              <w:t xml:space="preserve"> Bourbon County High School Girls Basketball Tournament </w:t>
            </w:r>
          </w:p>
          <w:p w:rsidR="00E155AA" w:rsidRDefault="00E155AA">
            <w:pPr>
              <w:rPr>
                <w:rFonts w:eastAsia="Times New Roman"/>
              </w:rPr>
            </w:pP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N.</w:t>
            </w:r>
            <w:r>
              <w:rPr>
                <w:rFonts w:eastAsia="Times New Roman"/>
              </w:rPr>
              <w:t> Action Items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Carryover Request Boa</w:t>
            </w:r>
            <w:r>
              <w:rPr>
                <w:rFonts w:eastAsia="Times New Roman"/>
              </w:rPr>
              <w:t>rd Attestation FY2025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#90 - Motion Passed:</w:t>
            </w:r>
            <w:r>
              <w:rPr>
                <w:rFonts w:eastAsia="Times New Roman"/>
              </w:rPr>
              <w:t xml:space="preserve"> The Board is being asked to approve the Head Start carryover request for 2025.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 and a second by 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pStyle w:val="NormalWeb"/>
            </w:pPr>
            <w:r>
              <w:t xml:space="preserve">The Board is being asked to </w:t>
            </w:r>
            <w:bookmarkStart w:id="0" w:name="_GoBack"/>
            <w:bookmarkEnd w:id="0"/>
            <w:r w:rsidR="00755B21">
              <w:t>approve</w:t>
            </w:r>
            <w:r>
              <w:t xml:space="preserve"> the Budget Carryover for the Bourbon County Preschool Head Start</w:t>
            </w:r>
            <w:r w:rsidR="00755B21">
              <w:t> in</w:t>
            </w:r>
            <w:r>
              <w:t xml:space="preserve"> the amount of $25,000</w:t>
            </w:r>
            <w:r w:rsidR="00755B21">
              <w:t> from</w:t>
            </w:r>
            <w:r>
              <w:t xml:space="preserve"> the FY 2025 noncompeting grant to be carried forward to the FY 2026 budget period.  </w:t>
            </w:r>
          </w:p>
          <w:p w:rsidR="00000000" w:rsidRDefault="00A705E2">
            <w:pPr>
              <w:divId w:val="1782527036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Family Resource School District</w:t>
            </w:r>
            <w:r>
              <w:rPr>
                <w:rFonts w:eastAsia="Times New Roman"/>
              </w:rPr>
              <w:t xml:space="preserve"> Assurance Certification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#91 - Motion Passed:</w:t>
            </w:r>
            <w:r>
              <w:rPr>
                <w:rFonts w:eastAsia="Times New Roman"/>
              </w:rPr>
              <w:t xml:space="preserve"> The Board is being asked to approve the Family Resource School District Assurance Certification for 2026-2028.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 and a second by 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The Board is being asked to approve the Family Resource School District Assurance Certification for 2026-2028.</w:t>
            </w:r>
          </w:p>
          <w:p w:rsidR="00000000" w:rsidRDefault="00A705E2">
            <w:pPr>
              <w:divId w:val="115872311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Skid Steer Equipment Purchase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#92 -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The Board is being asked to approve the purchase of a Skid Steer Equipment from John Deere, Wright Implement 1, LLC, for $62,704.99. Additional quotes are provided below. Montgomery Tractor Sales-67,050.00 Central Equipment Company-$64,378.00 passed with a</w:t>
            </w:r>
            <w:r>
              <w:rPr>
                <w:rFonts w:eastAsia="Times New Roman"/>
              </w:rPr>
              <w:t xml:space="preserve"> motion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 and a second by 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HVAC Agreement with Kentucky Mechanical Service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#93 - Motion Passed:</w:t>
            </w:r>
            <w:r>
              <w:rPr>
                <w:rFonts w:eastAsia="Times New Roman"/>
              </w:rPr>
              <w:t xml:space="preserve"> The Board is being asked to approve an agreement with Kentucky Mechanical Service for the 2026-2027</w:t>
            </w:r>
            <w:r>
              <w:rPr>
                <w:rFonts w:eastAsia="Times New Roman"/>
              </w:rPr>
              <w:t xml:space="preserve"> school year.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 and a second by 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pStyle w:val="NormalWeb"/>
            </w:pPr>
            <w:r>
              <w:rPr>
                <w:rStyle w:val="Strong"/>
              </w:rPr>
              <w:t>KMS Labor rates per trade beginning January 1, 2026</w:t>
            </w:r>
          </w:p>
          <w:p w:rsidR="00000000" w:rsidRDefault="00A705E2">
            <w:pPr>
              <w:pStyle w:val="NormalWeb"/>
            </w:pPr>
            <w:r>
              <w:rPr>
                <w:rStyle w:val="Emphasis"/>
                <w:b/>
                <w:bCs/>
              </w:rPr>
              <w:t>HVAC-Chiller-Boiler Technician</w:t>
            </w:r>
            <w:r>
              <w:br/>
              <w:t>$112/</w:t>
            </w:r>
            <w:proofErr w:type="spellStart"/>
            <w:r>
              <w:t>hr</w:t>
            </w:r>
            <w:proofErr w:type="spellEnd"/>
          </w:p>
          <w:p w:rsidR="00000000" w:rsidRDefault="00A705E2">
            <w:pPr>
              <w:pStyle w:val="NormalWeb"/>
            </w:pPr>
            <w:r>
              <w:rPr>
                <w:rStyle w:val="Emphasis"/>
                <w:b/>
                <w:bCs/>
              </w:rPr>
              <w:t>Electrical</w:t>
            </w:r>
            <w:r>
              <w:br/>
              <w:t>$112/</w:t>
            </w:r>
            <w:proofErr w:type="spellStart"/>
            <w:r>
              <w:t>hr</w:t>
            </w:r>
            <w:proofErr w:type="spellEnd"/>
          </w:p>
          <w:p w:rsidR="00000000" w:rsidRDefault="00A705E2">
            <w:pPr>
              <w:pStyle w:val="NormalWeb"/>
            </w:pPr>
            <w:r>
              <w:rPr>
                <w:rStyle w:val="Emphasis"/>
                <w:b/>
                <w:bCs/>
              </w:rPr>
              <w:t>Controls</w:t>
            </w:r>
            <w:r>
              <w:br/>
              <w:t>$125/</w:t>
            </w:r>
            <w:proofErr w:type="spellStart"/>
            <w:r>
              <w:t>hr</w:t>
            </w:r>
            <w:proofErr w:type="spellEnd"/>
          </w:p>
          <w:p w:rsidR="00000000" w:rsidRDefault="00A705E2">
            <w:pPr>
              <w:pStyle w:val="NormalWeb"/>
            </w:pPr>
            <w:r>
              <w:t>*20% Markup on parts*</w:t>
            </w:r>
          </w:p>
          <w:p w:rsidR="00000000" w:rsidRDefault="00A705E2">
            <w:pPr>
              <w:pStyle w:val="NormalWeb"/>
            </w:pPr>
            <w:r>
              <w:t>*24/7 Availability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5.</w:t>
            </w:r>
            <w:r>
              <w:rPr>
                <w:rFonts w:eastAsia="Times New Roman"/>
              </w:rPr>
              <w:t> HVAC Contract Agreement with Comfort &amp; Process Solutions for the 2026-2027 school year.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#94 - Motion Passed:</w:t>
            </w:r>
            <w:r>
              <w:rPr>
                <w:rFonts w:eastAsia="Times New Roman"/>
              </w:rPr>
              <w:t xml:space="preserve"> The Board is being asked to approve an agreement with Comfort &amp; Process Solutions for the 2026-2027 school year. </w:t>
            </w:r>
            <w:proofErr w:type="gramStart"/>
            <w:r>
              <w:rPr>
                <w:rFonts w:eastAsia="Times New Roman"/>
              </w:rPr>
              <w:t>pas</w:t>
            </w:r>
            <w:r>
              <w:rPr>
                <w:rFonts w:eastAsia="Times New Roman"/>
              </w:rPr>
              <w:t>sed</w:t>
            </w:r>
            <w:proofErr w:type="gramEnd"/>
            <w:r>
              <w:rPr>
                <w:rFonts w:eastAsia="Times New Roman"/>
              </w:rPr>
              <w:t xml:space="preserve"> with a motion by Amanda Thornberry and a second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pStyle w:val="NormalWeb"/>
            </w:pPr>
            <w:r>
              <w:t>2026 HVAC and Controls Service Rates</w:t>
            </w:r>
          </w:p>
          <w:p w:rsidR="00000000" w:rsidRDefault="00A705E2">
            <w:pPr>
              <w:pStyle w:val="NormalWeb"/>
            </w:pPr>
            <w:r>
              <w:t>HVAC Technician: $112/</w:t>
            </w:r>
            <w:proofErr w:type="spellStart"/>
            <w:r>
              <w:t>hr</w:t>
            </w:r>
            <w:proofErr w:type="spellEnd"/>
            <w:r>
              <w:br/>
              <w:t>HVAC Apprentice:$90/</w:t>
            </w:r>
            <w:proofErr w:type="spellStart"/>
            <w:r>
              <w:t>hr</w:t>
            </w:r>
            <w:proofErr w:type="spellEnd"/>
            <w:r>
              <w:br/>
              <w:t>Chiller Technician:$135/</w:t>
            </w:r>
            <w:proofErr w:type="spellStart"/>
            <w:r>
              <w:t>hr</w:t>
            </w:r>
            <w:proofErr w:type="spellEnd"/>
            <w:r>
              <w:br/>
              <w:t>Controls Apprentice:$99/</w:t>
            </w:r>
            <w:proofErr w:type="spellStart"/>
            <w:r>
              <w:t>hr</w:t>
            </w:r>
            <w:proofErr w:type="spellEnd"/>
            <w:r>
              <w:br/>
              <w:t>Equipment and Parts:20% mark</w:t>
            </w:r>
            <w:r>
              <w:t>up</w:t>
            </w:r>
          </w:p>
          <w:p w:rsidR="00000000" w:rsidRDefault="00A705E2">
            <w:pPr>
              <w:pStyle w:val="NormalWeb"/>
            </w:pPr>
            <w:r>
              <w:t>*Overtime (OT) and Double Overtime (DOT) rates will be applied when applicable</w:t>
            </w:r>
          </w:p>
          <w:p w:rsidR="00E155AA" w:rsidRDefault="00E155AA">
            <w:pPr>
              <w:pStyle w:val="NormalWeb"/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</w:t>
            </w:r>
            <w:r>
              <w:rPr>
                <w:rFonts w:eastAsia="Times New Roman"/>
              </w:rPr>
              <w:t> Petroleum Traders Fuel Contract Renewal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#95 - Motion Passed:</w:t>
            </w:r>
            <w:r>
              <w:rPr>
                <w:rFonts w:eastAsia="Times New Roman"/>
              </w:rPr>
              <w:t xml:space="preserve"> The Board is being asked to approve renewing the Petroleum Traders Fuel Contract passed with a motion</w:t>
            </w:r>
            <w:r>
              <w:rPr>
                <w:rFonts w:eastAsia="Times New Roman"/>
              </w:rPr>
              <w:t xml:space="preserve">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</w:t>
            </w:r>
            <w:r>
              <w:rPr>
                <w:rFonts w:eastAsia="Times New Roman"/>
              </w:rPr>
              <w:t> Purchase of 4 Blue Bird Diesel Buses for Pre-K/</w:t>
            </w:r>
            <w:proofErr w:type="spellStart"/>
            <w:r>
              <w:rPr>
                <w:rFonts w:eastAsia="Times New Roman"/>
              </w:rPr>
              <w:t>Headstart</w:t>
            </w:r>
            <w:proofErr w:type="spellEnd"/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#96 - Motion to Amend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To amend the motion from: "The Board is being asked to purchase 4 Diesel Buses for Pre-K/</w:t>
            </w:r>
            <w:proofErr w:type="spellStart"/>
            <w:r>
              <w:rPr>
                <w:rFonts w:eastAsia="Times New Roman"/>
              </w:rPr>
              <w:t>Headstart</w:t>
            </w:r>
            <w:proofErr w:type="spellEnd"/>
            <w:r>
              <w:rPr>
                <w:rFonts w:eastAsia="Times New Roman"/>
              </w:rPr>
              <w:t xml:space="preserve"> in the amount of $746,700.00" to: "The Board is being asked to purchase 4 Diesel Buses for Pre-K/</w:t>
            </w:r>
            <w:proofErr w:type="spellStart"/>
            <w:r>
              <w:rPr>
                <w:rFonts w:eastAsia="Times New Roman"/>
              </w:rPr>
              <w:t>Headstart</w:t>
            </w:r>
            <w:proofErr w:type="spellEnd"/>
            <w:r>
              <w:rPr>
                <w:rFonts w:eastAsia="Times New Roman"/>
              </w:rPr>
              <w:t xml:space="preserve"> in the amount of $746,700.00" passed with a motion</w:t>
            </w:r>
            <w:r>
              <w:rPr>
                <w:rFonts w:eastAsia="Times New Roman"/>
              </w:rPr>
              <w:t xml:space="preserve">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4 Yeas - 0 Nays - 1 Abstained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#97 - Motion to Amend Passed:</w:t>
            </w:r>
            <w:r>
              <w:rPr>
                <w:rFonts w:eastAsia="Times New Roman"/>
              </w:rPr>
              <w:t xml:space="preserve"> To amend the motion from: "The Board is being asked to purchase 4 Diesel Buses for Pre-K/</w:t>
            </w:r>
            <w:proofErr w:type="spellStart"/>
            <w:r>
              <w:rPr>
                <w:rFonts w:eastAsia="Times New Roman"/>
              </w:rPr>
              <w:t>Headstart</w:t>
            </w:r>
            <w:proofErr w:type="spellEnd"/>
            <w:r>
              <w:rPr>
                <w:rFonts w:eastAsia="Times New Roman"/>
              </w:rPr>
              <w:t xml:space="preserve"> in the amount of $746,700.00" to: "The Bo</w:t>
            </w:r>
            <w:r>
              <w:rPr>
                <w:rFonts w:eastAsia="Times New Roman"/>
              </w:rPr>
              <w:t>ard is being asked to purchase 4 Diesel Buses for Pre-K/</w:t>
            </w:r>
            <w:proofErr w:type="spellStart"/>
            <w:r>
              <w:rPr>
                <w:rFonts w:eastAsia="Times New Roman"/>
              </w:rPr>
              <w:t>Headstart</w:t>
            </w:r>
            <w:proofErr w:type="spellEnd"/>
            <w:r>
              <w:rPr>
                <w:rFonts w:eastAsia="Times New Roman"/>
              </w:rPr>
              <w:t xml:space="preserve"> in the amount of $746,700.00 Scott </w:t>
            </w:r>
            <w:proofErr w:type="spellStart"/>
            <w:r>
              <w:rPr>
                <w:rFonts w:eastAsia="Times New Roman"/>
              </w:rPr>
              <w:t>Muntz</w:t>
            </w:r>
            <w:proofErr w:type="spellEnd"/>
            <w:r>
              <w:rPr>
                <w:rFonts w:eastAsia="Times New Roman"/>
              </w:rPr>
              <w:t xml:space="preserve"> has the re-write and will add for the amended motion." passed with a motion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4 Yeas - 0 Nays - 1 Abstain</w:t>
            </w:r>
            <w:r>
              <w:rPr>
                <w:rFonts w:eastAsia="Times New Roman"/>
                <w:b/>
                <w:bCs/>
              </w:rPr>
              <w:t>ed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#98 - Motion Passed:</w:t>
            </w:r>
            <w:r>
              <w:rPr>
                <w:rFonts w:eastAsia="Times New Roman"/>
              </w:rPr>
              <w:t xml:space="preserve"> The Board is being asked to purchase 4 Diesel Buses for Pre-K/</w:t>
            </w:r>
            <w:proofErr w:type="spellStart"/>
            <w:r>
              <w:rPr>
                <w:rFonts w:eastAsia="Times New Roman"/>
              </w:rPr>
              <w:t>Headstart</w:t>
            </w:r>
            <w:proofErr w:type="spellEnd"/>
            <w:r>
              <w:rPr>
                <w:rFonts w:eastAsia="Times New Roman"/>
              </w:rPr>
              <w:t xml:space="preserve"> in the amount of $746,700.00 Scott </w:t>
            </w:r>
            <w:proofErr w:type="spellStart"/>
            <w:r>
              <w:rPr>
                <w:rFonts w:eastAsia="Times New Roman"/>
              </w:rPr>
              <w:t>Muntz</w:t>
            </w:r>
            <w:proofErr w:type="spellEnd"/>
            <w:r>
              <w:rPr>
                <w:rFonts w:eastAsia="Times New Roman"/>
              </w:rPr>
              <w:t xml:space="preserve"> has the re-write and will add for the amended motion.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Shane Buckler and a second by Jo</w:t>
            </w:r>
            <w:r>
              <w:rPr>
                <w:rFonts w:eastAsia="Times New Roman"/>
              </w:rPr>
              <w:t xml:space="preserve">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4 Yeas - 0 Nays - 1 Abstained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pStyle w:val="NormalWeb"/>
            </w:pPr>
            <w:r>
              <w:t>Purchase of Pre-K/</w:t>
            </w:r>
            <w:proofErr w:type="spellStart"/>
            <w:r>
              <w:t>Headstart</w:t>
            </w:r>
            <w:proofErr w:type="spellEnd"/>
            <w:r>
              <w:t xml:space="preserve"> 4 Blue Bird Diesel School Buses</w:t>
            </w:r>
          </w:p>
          <w:p w:rsidR="00000000" w:rsidRDefault="00A705E2">
            <w:pPr>
              <w:pStyle w:val="NormalWeb"/>
            </w:pPr>
            <w:r>
              <w:t>3 Buses with Base Price Options: $187,475.00</w:t>
            </w:r>
          </w:p>
          <w:p w:rsidR="00000000" w:rsidRDefault="00A705E2">
            <w:pPr>
              <w:pStyle w:val="NormalWeb"/>
            </w:pPr>
            <w:r>
              <w:t>1 Bus with Base Price Options:$184,275.00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Miranda abstained do to her</w:t>
            </w:r>
            <w:r w:rsidR="00E155AA">
              <w:rPr>
                <w:rFonts w:eastAsia="Times New Roman"/>
              </w:rPr>
              <w:t> involvement</w:t>
            </w:r>
            <w:r>
              <w:rPr>
                <w:rFonts w:eastAsia="Times New Roman"/>
              </w:rPr>
              <w:t xml:space="preserve"> in bonds.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8.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Policy 09.2 Student Welfare and Wellness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#99 - Motion Passed:</w:t>
            </w:r>
            <w:r>
              <w:rPr>
                <w:rFonts w:eastAsia="Times New Roman"/>
              </w:rPr>
              <w:t xml:space="preserve"> The Board is being asked to approve the recommended changes to the policy 09.2 Student Welfare and Wellness.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Shane Buckler and a second by Amanda Thornberry.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E155AA" w:rsidRPr="00E155AA" w:rsidRDefault="00A705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 are requesting to make changes to the district's policy 09.2, student welfare and wellness. We are adding a section in the policy related to outside food and beverages. The changes will be found in red writing in the attached policy</w:t>
            </w:r>
            <w:r>
              <w:rPr>
                <w:rFonts w:eastAsia="Times New Roman"/>
              </w:rPr>
              <w:t>. 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9.</w:t>
            </w:r>
            <w:r>
              <w:rPr>
                <w:rFonts w:eastAsia="Times New Roman"/>
              </w:rPr>
              <w:t> Policy 09.224 Emergency Medical Treatment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#100 - Motion Passed:</w:t>
            </w:r>
            <w:r>
              <w:rPr>
                <w:rFonts w:eastAsia="Times New Roman"/>
              </w:rPr>
              <w:t xml:space="preserve"> The Board is being asked to approve the updates to the Board policy 09.224, Emergency Medical Treatment.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  <w:r>
              <w:rPr>
                <w:rFonts w:eastAsia="Times New Roman"/>
              </w:rPr>
              <w:t xml:space="preserve"> and a second by Shane Buckler</w:t>
            </w:r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 are updating the policy 09.224 to include a section related to bronchodilator rescue inhalers. Changes to the policy can be found in red on the attached document. 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10.</w:t>
            </w:r>
            <w:r>
              <w:rPr>
                <w:rFonts w:eastAsia="Times New Roman"/>
              </w:rPr>
              <w:t> Chromebook Purchase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#101 -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The Board is being asked to approve the purchase of 600 </w:t>
            </w:r>
            <w:proofErr w:type="spellStart"/>
            <w:r>
              <w:rPr>
                <w:rFonts w:eastAsia="Times New Roman"/>
              </w:rPr>
              <w:t>chromebooks</w:t>
            </w:r>
            <w:proofErr w:type="spellEnd"/>
            <w:r>
              <w:rPr>
                <w:rFonts w:eastAsia="Times New Roman"/>
              </w:rPr>
              <w:t xml:space="preserve"> and related services in the amount of $220,735.00.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  <w:r>
              <w:rPr>
                <w:rFonts w:eastAsia="Times New Roman"/>
              </w:rPr>
              <w:t xml:space="preserve"> and a second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This is the 3rd year or our technology plan.</w:t>
            </w:r>
            <w:r>
              <w:rPr>
                <w:rFonts w:eastAsia="Times New Roman"/>
              </w:rPr>
              <w:t> 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11.</w:t>
            </w:r>
            <w:r>
              <w:rPr>
                <w:rFonts w:eastAsia="Times New Roman"/>
              </w:rPr>
              <w:t> 2026-27 Calendar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#102 - Motion Passed:</w:t>
            </w:r>
            <w:r>
              <w:rPr>
                <w:rFonts w:eastAsia="Times New Roman"/>
              </w:rPr>
              <w:t xml:space="preserve"> The Board is being asked to approve the second reading of the proposed 2026-27 school calendar.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  <w:r>
              <w:rPr>
                <w:rFonts w:eastAsia="Times New Roman"/>
              </w:rPr>
              <w:t xml:space="preserve"> and a second by Amanda Thornberry.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12.</w:t>
            </w:r>
            <w:r>
              <w:rPr>
                <w:rFonts w:eastAsia="Times New Roman"/>
              </w:rPr>
              <w:t> Ex</w:t>
            </w:r>
            <w:r>
              <w:rPr>
                <w:rFonts w:eastAsia="Times New Roman"/>
              </w:rPr>
              <w:t xml:space="preserve">ecutive Session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#103 - Motion Passed:</w:t>
            </w:r>
            <w:r>
              <w:rPr>
                <w:rFonts w:eastAsia="Times New Roman"/>
              </w:rPr>
              <w:t xml:space="preserve"> The Board is being asked to approve entering into executive session.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Shane Buckler and a second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is being asked to enter into executive ses</w:t>
            </w:r>
            <w:r>
              <w:rPr>
                <w:rFonts w:eastAsia="Times New Roman"/>
              </w:rPr>
              <w:t>sion to discuss pending litigation. 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13.</w:t>
            </w:r>
            <w:r>
              <w:rPr>
                <w:rFonts w:eastAsia="Times New Roman"/>
              </w:rPr>
              <w:t> Resume Regular Session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#104 - Motion Passed:</w:t>
            </w:r>
            <w:r>
              <w:rPr>
                <w:rFonts w:eastAsia="Times New Roman"/>
              </w:rPr>
              <w:t xml:space="preserve"> The Board is being asked to resume regular session.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  <w:r>
              <w:rPr>
                <w:rFonts w:eastAsia="Times New Roman"/>
              </w:rPr>
              <w:t xml:space="preserve">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  <w:p w:rsidR="00E155AA" w:rsidRDefault="00E155AA">
            <w:pPr>
              <w:rPr>
                <w:rFonts w:eastAsia="Times New Roman"/>
                <w:b/>
                <w:bCs/>
              </w:rPr>
            </w:pPr>
          </w:p>
          <w:p w:rsidR="00E155AA" w:rsidRDefault="00E155AA">
            <w:pPr>
              <w:rPr>
                <w:rFonts w:eastAsia="Times New Roman"/>
                <w:b/>
                <w:bCs/>
              </w:rPr>
            </w:pP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14.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Long-term Disability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#105 - Motion Passed:</w:t>
            </w:r>
            <w:r>
              <w:rPr>
                <w:rFonts w:eastAsia="Times New Roman"/>
              </w:rPr>
              <w:t xml:space="preserve"> The Board is being asked to approve a request for long-term disability for a Mary </w:t>
            </w:r>
            <w:proofErr w:type="spellStart"/>
            <w:r>
              <w:rPr>
                <w:rFonts w:eastAsia="Times New Roman"/>
              </w:rPr>
              <w:t>Livingood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gramStart"/>
            <w:r>
              <w:rPr>
                <w:rFonts w:eastAsia="Times New Roman"/>
              </w:rPr>
              <w:t>passed</w:t>
            </w:r>
            <w:proofErr w:type="gramEnd"/>
            <w:r>
              <w:rPr>
                <w:rFonts w:eastAsia="Times New Roman"/>
              </w:rPr>
              <w:t xml:space="preserve"> with a motion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 and a second by 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Other Board Business</w:t>
            </w:r>
          </w:p>
          <w:p w:rsidR="00E155AA" w:rsidRDefault="00E155A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Adjournment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#106 - Motion Passed:</w:t>
            </w:r>
            <w:r>
              <w:rPr>
                <w:rFonts w:eastAsia="Times New Roman"/>
              </w:rPr>
              <w:t xml:space="preserve"> Approval to adjourn passed with a motion by Jon </w:t>
            </w:r>
            <w:proofErr w:type="spellStart"/>
            <w:r>
              <w:rPr>
                <w:rFonts w:eastAsia="Times New Roman"/>
              </w:rPr>
              <w:t>Ott</w:t>
            </w:r>
            <w:proofErr w:type="spellEnd"/>
            <w:r>
              <w:rPr>
                <w:rFonts w:eastAsia="Times New Roman"/>
              </w:rPr>
              <w:t xml:space="preserve"> and a second by Mrs. Miranda </w:t>
            </w:r>
            <w:proofErr w:type="spellStart"/>
            <w:r>
              <w:rPr>
                <w:rFonts w:eastAsia="Times New Roman"/>
              </w:rPr>
              <w:t>Wyles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0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</w:tbl>
    <w:p w:rsidR="00A705E2" w:rsidRDefault="00A705E2">
      <w:pPr>
        <w:spacing w:after="240"/>
        <w:rPr>
          <w:rFonts w:eastAsia="Times New Roman"/>
        </w:rPr>
      </w:pPr>
    </w:p>
    <w:sectPr w:rsidR="00A705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55AA"/>
    <w:rsid w:val="00755B21"/>
    <w:rsid w:val="00A705E2"/>
    <w:rsid w:val="00E1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26800"/>
  <w15:chartTrackingRefBased/>
  <w15:docId w15:val="{E64DFEC7-5D4D-4B76-B869-CA190C46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B2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Puckett, Dana (Bourbon County)</dc:creator>
  <cp:keywords/>
  <dc:description/>
  <cp:lastModifiedBy>Puckett, Dana (Bourbon County)</cp:lastModifiedBy>
  <cp:revision>2</cp:revision>
  <cp:lastPrinted>2025-12-22T18:30:00Z</cp:lastPrinted>
  <dcterms:created xsi:type="dcterms:W3CDTF">2025-12-22T18:30:00Z</dcterms:created>
  <dcterms:modified xsi:type="dcterms:W3CDTF">2025-12-22T18:30:00Z</dcterms:modified>
</cp:coreProperties>
</file>