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1/15/2026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Cabinet for Health and Family Services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Resource/Youth Service Centers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FY26-FY28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80808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808080"/>
          <w:sz w:val="22"/>
          <w:szCs w:val="22"/>
          <w:rtl w:val="0"/>
        </w:rPr>
        <w:t xml:space="preserve">Board Policy 09.2 Student Welfare and Wellness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80808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808080"/>
          <w:sz w:val="22"/>
          <w:szCs w:val="22"/>
          <w:rtl w:val="0"/>
        </w:rPr>
        <w:t xml:space="preserve">Board Policy 09.22 Student Health and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Assurance Certificate regulating that FRYSCs operating within Boone County Schools must remain compliant with applicable FRYSC statutes, policies, and procedures.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compliance with all FRYSC-related statutes and any policies or procedures set forth by the Cabinet for Health and Family Services, Boone County will provide a signed School District Assurance Certificate for all twenty state approved centers for FY26-FY28.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The state will determine the amount using December 1st Free numbers.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that the Board approve the FRYSC School District Assurance Certification for fiscal years 2026 through 2028,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 Brauch, Director of Pupil Personnel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Jeremey Booher, Assistant Director of Pupil Personnel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EJN2BsVXp1uGF05AJ9qMVLrug==">CgMxLjA4AHIhMXRQOENmdHg5akR5R1BVTzhESEVubGt4SmNqQy1hOG4z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2025-11-25T17:16:00Z</dcterms:created>
  <dc:creator>Staff</dc:creator>
</cp:coreProperties>
</file>