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1/15/2026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Ryle High School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Body Interact, Inc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License / 2-Years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1/15/2026 –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1/14/28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1B: Boone County Schools will ensure all students will receive rigorous and engaging instruction via a guaranteed and viable curriculum in every classroom, every day.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Project Lead the Way, Biomedical Science Class Supplemental Curriculum.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$32,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49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0.00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LAVEC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$32,490.00 / 2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YEARS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contract between Ryle High School and Body Interact, Inc., 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Matt Shafer, Ryle High School Principal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Tracy Schaefer, Director Middle &amp; High School , LSS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fqoQMl4eFT1hlAzQ59QzM4zsCQ==">CgMxLjA4AHIhMXRPMzhQOW8xUEtkSDJVbVEwakhCUllEX01Sci1iREF6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2025-12-10T14:35:00Z</dcterms:created>
  <dc:creator>Staff</dc:creator>
</cp:coreProperties>
</file>