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10/9/2025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NorthKey Community Care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for School-Based Services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October 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2025 - June 30, 2026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p6jphxa2rx2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 Relationships with Community Organization;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:  Goal 3, Stakeholder Engagement, Objective 3B (1) Foster relationships with business and community partners, engage in community outreach, and develop alumni connections to strengthen stakeholder engagement.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NorthKey Community Care provides school based mental health therapy in all our schools.  Over one thousand of our students have received school-based mental health services at their schools through the NorthKey Mental Health Therapists, weekly or bi-weekly.  Most of the services are funded through student Medicaid Insurance or private insurance.  The Student Services and IDEA budgets also contain line-item funds to assist those parents and students who do not have Medicaid and whose private insurance does not allow for school-based services.  The MOA also affords us a Services Coordinator through NorthKey and Impact Case Managers.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to exceed $60,000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Fund-Student Services and IDEA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Services 60%; IDEA 40%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between Boone County Schools and  Northkey Community Care,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 of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65" w:top="720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7o4UhvS1VnSmxhop7h9l89ASg==">CgMxLjAyDmgua3A2anBoeGEycngyOAByITFKQS1vMnEtdzJWb1RUQ3B2c2Z4QTNEa1dqbHFCSUNWcQ==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2025-09-17T12:31:00Z</dcterms:created>
  <dc:creator>Staff</dc:creator>
</cp:coreProperties>
</file>