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 </w:t>
      </w:r>
      <w:r w:rsidDel="00000000" w:rsidR="00000000" w:rsidRPr="00000000">
        <w:rPr>
          <w:rFonts w:ascii="Calibri" w:cs="Calibri" w:eastAsia="Calibri" w:hAnsi="Calibri"/>
          <w:b w:val="1"/>
          <w:i w:val="0"/>
          <w:smallCaps w:val="0"/>
          <w:strike w:val="0"/>
          <w:color w:val="ff0000"/>
          <w:sz w:val="28"/>
          <w:szCs w:val="28"/>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DATE: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10/9/2025</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Student Community Services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NKCAC- Northern Kentucky Community Action Commission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Partnership Agreement Educational Neglect Prevention and Family Engagement Program</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October 9, 2025 - June 30, 2026</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0808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Board Policy 10.3</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Relationships with Community Organizations;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Strategic Plan Connection: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Goal 3, Stakeholder Engagement, Objective 3B (1) Foster relationships with business and community partners, engage in community outreach, and develop alumni connections to strengthen stakeholder engagement</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0808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2">
      <w:pPr>
        <w:rPr>
          <w:rFonts w:ascii="Calibri" w:cs="Calibri" w:eastAsia="Calibri" w:hAnsi="Calibri"/>
        </w:rPr>
      </w:pPr>
      <w:r w:rsidDel="00000000" w:rsidR="00000000" w:rsidRPr="00000000">
        <w:rPr>
          <w:rtl w:val="0"/>
        </w:rPr>
        <w:t xml:space="preserve">This Partnership Agreement is entered by the Northern Kentucky Community Action Commission (NKCAC) and the Boone County Schools (BCS). This agreement demonstrates a collaboration in which families are engaged through a Parent Engagement Meeting (PEM) to define barriers to attendance, identify strengths and needs, develop a plan of action, and strive to prevent the family from being unnecessarily involved in the child welfare system.  Our goal is to prevent educational neglect through collaboration among agencies and with families.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 recommend the board approve th</w:t>
      </w:r>
      <w:r w:rsidDel="00000000" w:rsidR="00000000" w:rsidRPr="00000000">
        <w:rPr>
          <w:rFonts w:ascii="Calibri" w:cs="Calibri" w:eastAsia="Calibri" w:hAnsi="Calibri"/>
          <w:rtl w:val="0"/>
        </w:rPr>
        <w:t xml:space="preserve">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Partnership Agreement for Educational Neglect Prevention and Family Engagement Program between Boone County Schools and Northern Kentucky Community Action Commission,  as presented.</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Dr. James Detwiler, Deputy Superintendent / CAO</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Kathleen G. Reutman, Executive Director, Student/ Community Services</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345"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D">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-260349</wp:posOffset>
              </wp:positionH>
              <wp:positionV relativeFrom="paragraph">
                <wp:posOffset>53340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UjW2kVz9SY0J2wGcMOSJaIzP7A==">CgMxLjA4AHIhMU55a2dsaW5tYWZyNUJidUlVcFppOVBRNWlnamx2LXBM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2025-09-18T12:34:00Z</dcterms:created>
  <dc:creator>Staff</dc:creator>
</cp:coreProperties>
</file>