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A73E" w14:textId="77777777" w:rsidR="008821A4" w:rsidRDefault="009764EE" w:rsidP="009764EE">
      <w:pPr>
        <w:jc w:val="righ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B34105" wp14:editId="75D2081F">
            <wp:simplePos x="0" y="0"/>
            <wp:positionH relativeFrom="column">
              <wp:posOffset>3818255</wp:posOffset>
            </wp:positionH>
            <wp:positionV relativeFrom="paragraph">
              <wp:posOffset>19050</wp:posOffset>
            </wp:positionV>
            <wp:extent cx="2525395" cy="1098550"/>
            <wp:effectExtent l="19050" t="19050" r="27305" b="25400"/>
            <wp:wrapSquare wrapText="bothSides"/>
            <wp:docPr id="3" name="Picture 3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98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8F221" w14:textId="77777777" w:rsidR="000B76DA" w:rsidRDefault="000B76DA" w:rsidP="000B76DA">
      <w:pPr>
        <w:jc w:val="center"/>
        <w:rPr>
          <w:sz w:val="36"/>
          <w:szCs w:val="36"/>
        </w:rPr>
      </w:pPr>
      <w:r w:rsidRPr="001D0EC7">
        <w:rPr>
          <w:sz w:val="36"/>
          <w:szCs w:val="36"/>
        </w:rPr>
        <w:t>Russellville Independent School District</w:t>
      </w:r>
      <w:r>
        <w:rPr>
          <w:sz w:val="36"/>
          <w:szCs w:val="36"/>
        </w:rPr>
        <w:t xml:space="preserve"> </w:t>
      </w:r>
      <w:r w:rsidR="00A4063F">
        <w:rPr>
          <w:sz w:val="36"/>
          <w:szCs w:val="36"/>
        </w:rPr>
        <w:t>Working</w:t>
      </w:r>
      <w:r w:rsidRPr="001D0EC7">
        <w:rPr>
          <w:sz w:val="36"/>
          <w:szCs w:val="36"/>
        </w:rPr>
        <w:t xml:space="preserve"> Budget</w:t>
      </w:r>
    </w:p>
    <w:p w14:paraId="15CDB887" w14:textId="77777777" w:rsidR="009764EE" w:rsidRDefault="000B76DA" w:rsidP="009764EE">
      <w:pPr>
        <w:jc w:val="center"/>
        <w:rPr>
          <w:sz w:val="36"/>
          <w:szCs w:val="36"/>
        </w:rPr>
      </w:pPr>
      <w:r>
        <w:rPr>
          <w:sz w:val="36"/>
          <w:szCs w:val="36"/>
        </w:rPr>
        <w:t>Discussion</w:t>
      </w:r>
      <w:r w:rsidR="009764EE">
        <w:rPr>
          <w:sz w:val="36"/>
          <w:szCs w:val="36"/>
        </w:rPr>
        <w:t xml:space="preserve"> </w:t>
      </w:r>
    </w:p>
    <w:p w14:paraId="102CD309" w14:textId="2EC65E0A" w:rsidR="000B76DA" w:rsidRPr="001D0EC7" w:rsidRDefault="00073C89" w:rsidP="009764EE">
      <w:pPr>
        <w:jc w:val="center"/>
        <w:rPr>
          <w:sz w:val="36"/>
          <w:szCs w:val="36"/>
        </w:rPr>
      </w:pPr>
      <w:r>
        <w:rPr>
          <w:sz w:val="36"/>
          <w:szCs w:val="36"/>
        </w:rPr>
        <w:t>2025-2026</w:t>
      </w:r>
    </w:p>
    <w:p w14:paraId="22A8B865" w14:textId="77777777" w:rsidR="000B76DA" w:rsidRDefault="000B76DA" w:rsidP="000B76DA">
      <w:pPr>
        <w:jc w:val="center"/>
      </w:pPr>
    </w:p>
    <w:p w14:paraId="3DB6B00A" w14:textId="77777777" w:rsidR="00433D15" w:rsidRDefault="00433D15"/>
    <w:p w14:paraId="248C5610" w14:textId="77777777" w:rsidR="00EC4EDD" w:rsidRDefault="00EC4EDD"/>
    <w:p w14:paraId="36CE62E7" w14:textId="77777777" w:rsidR="00EC4EDD" w:rsidRDefault="00EC4EDD"/>
    <w:p w14:paraId="26B50F83" w14:textId="77777777" w:rsidR="00EC4EDD" w:rsidRDefault="00E03606" w:rsidP="00E03606">
      <w:pPr>
        <w:spacing w:after="240"/>
        <w:rPr>
          <w:sz w:val="28"/>
          <w:szCs w:val="28"/>
        </w:rPr>
      </w:pPr>
      <w:r w:rsidRPr="00E03606">
        <w:rPr>
          <w:sz w:val="28"/>
          <w:szCs w:val="28"/>
        </w:rPr>
        <w:t xml:space="preserve">The following items are some of the specifics built into the </w:t>
      </w:r>
      <w:r w:rsidR="007B0C43">
        <w:rPr>
          <w:sz w:val="28"/>
          <w:szCs w:val="28"/>
        </w:rPr>
        <w:t>Working</w:t>
      </w:r>
      <w:r w:rsidRPr="00E03606">
        <w:rPr>
          <w:sz w:val="28"/>
          <w:szCs w:val="28"/>
        </w:rPr>
        <w:t xml:space="preserve"> Budget.</w:t>
      </w:r>
    </w:p>
    <w:p w14:paraId="0B20D508" w14:textId="77777777" w:rsidR="0030188C" w:rsidRPr="00D6687E" w:rsidRDefault="0030188C" w:rsidP="0030188C">
      <w:pPr>
        <w:rPr>
          <w:b/>
          <w:sz w:val="28"/>
          <w:szCs w:val="28"/>
        </w:rPr>
      </w:pPr>
      <w:r w:rsidRPr="00D6687E">
        <w:rPr>
          <w:b/>
          <w:sz w:val="28"/>
          <w:szCs w:val="28"/>
        </w:rPr>
        <w:t>General Fund:</w:t>
      </w:r>
    </w:p>
    <w:p w14:paraId="05994F7A" w14:textId="77777777" w:rsidR="0030188C" w:rsidRDefault="0030188C" w:rsidP="00667EBA">
      <w:pPr>
        <w:ind w:left="540" w:firstLine="720"/>
        <w:rPr>
          <w:b/>
          <w:sz w:val="28"/>
          <w:szCs w:val="28"/>
        </w:rPr>
      </w:pPr>
      <w:r w:rsidRPr="00D6687E">
        <w:rPr>
          <w:b/>
          <w:sz w:val="28"/>
          <w:szCs w:val="28"/>
        </w:rPr>
        <w:t>Local Revenue:</w:t>
      </w:r>
    </w:p>
    <w:p w14:paraId="658ABE4E" w14:textId="593545AD" w:rsidR="00E30247" w:rsidRPr="0075251F" w:rsidRDefault="00EB6DEA" w:rsidP="00667EBA">
      <w:pPr>
        <w:pStyle w:val="ListParagraph"/>
        <w:numPr>
          <w:ilvl w:val="0"/>
          <w:numId w:val="2"/>
        </w:numPr>
        <w:spacing w:after="120"/>
        <w:ind w:left="1260" w:hanging="540"/>
        <w:contextualSpacing w:val="0"/>
        <w:rPr>
          <w:color w:val="FF0000"/>
          <w:sz w:val="28"/>
          <w:szCs w:val="28"/>
        </w:rPr>
      </w:pPr>
      <w:r w:rsidRPr="00B739BD">
        <w:rPr>
          <w:sz w:val="28"/>
          <w:szCs w:val="28"/>
        </w:rPr>
        <w:t xml:space="preserve">Property taxes: </w:t>
      </w:r>
      <w:r w:rsidR="00DA16BD" w:rsidRPr="00B739BD">
        <w:rPr>
          <w:sz w:val="28"/>
          <w:szCs w:val="28"/>
        </w:rPr>
        <w:t>The district</w:t>
      </w:r>
      <w:r w:rsidR="00BC7F15">
        <w:rPr>
          <w:sz w:val="28"/>
          <w:szCs w:val="28"/>
        </w:rPr>
        <w:t>’</w:t>
      </w:r>
      <w:r w:rsidR="00DA16BD" w:rsidRPr="00B739BD">
        <w:rPr>
          <w:sz w:val="28"/>
          <w:szCs w:val="28"/>
        </w:rPr>
        <w:t xml:space="preserve">s total tax assessments </w:t>
      </w:r>
      <w:r w:rsidR="00E30247" w:rsidRPr="00B739BD">
        <w:rPr>
          <w:sz w:val="28"/>
          <w:szCs w:val="28"/>
        </w:rPr>
        <w:t>in</w:t>
      </w:r>
      <w:r w:rsidR="00DA16BD" w:rsidRPr="00B739BD">
        <w:rPr>
          <w:sz w:val="28"/>
          <w:szCs w:val="28"/>
        </w:rPr>
        <w:t>creased $</w:t>
      </w:r>
      <w:r w:rsidR="00073C89">
        <w:rPr>
          <w:sz w:val="28"/>
          <w:szCs w:val="28"/>
        </w:rPr>
        <w:t>47,</w:t>
      </w:r>
      <w:r w:rsidR="0005200C">
        <w:rPr>
          <w:sz w:val="28"/>
          <w:szCs w:val="28"/>
        </w:rPr>
        <w:t>701,213</w:t>
      </w:r>
      <w:r w:rsidR="00DA16BD" w:rsidRPr="00B739BD">
        <w:rPr>
          <w:sz w:val="28"/>
          <w:szCs w:val="28"/>
        </w:rPr>
        <w:t xml:space="preserve"> over the previous year.  </w:t>
      </w:r>
      <w:r w:rsidR="00A03D0C">
        <w:rPr>
          <w:sz w:val="28"/>
          <w:szCs w:val="28"/>
        </w:rPr>
        <w:t>T</w:t>
      </w:r>
      <w:r w:rsidR="004425B6">
        <w:rPr>
          <w:sz w:val="28"/>
          <w:szCs w:val="28"/>
        </w:rPr>
        <w:t xml:space="preserve">he </w:t>
      </w:r>
      <w:r w:rsidR="00DA16BD" w:rsidRPr="00B739BD">
        <w:rPr>
          <w:sz w:val="28"/>
          <w:szCs w:val="28"/>
        </w:rPr>
        <w:t xml:space="preserve">board adopted a </w:t>
      </w:r>
      <w:r w:rsidR="004425B6">
        <w:rPr>
          <w:sz w:val="28"/>
          <w:szCs w:val="28"/>
        </w:rPr>
        <w:t xml:space="preserve">real estate </w:t>
      </w:r>
      <w:r w:rsidR="00DA16BD" w:rsidRPr="00B739BD">
        <w:rPr>
          <w:sz w:val="28"/>
          <w:szCs w:val="28"/>
        </w:rPr>
        <w:t xml:space="preserve">rate </w:t>
      </w:r>
      <w:r w:rsidR="0075251F">
        <w:rPr>
          <w:sz w:val="28"/>
          <w:szCs w:val="28"/>
        </w:rPr>
        <w:t xml:space="preserve">and tangible personal rate </w:t>
      </w:r>
      <w:r w:rsidR="00DA16BD" w:rsidRPr="00B739BD">
        <w:rPr>
          <w:sz w:val="28"/>
          <w:szCs w:val="28"/>
        </w:rPr>
        <w:t xml:space="preserve">of </w:t>
      </w:r>
      <w:r w:rsidR="00073C89">
        <w:rPr>
          <w:sz w:val="28"/>
          <w:szCs w:val="28"/>
        </w:rPr>
        <w:t>79.4</w:t>
      </w:r>
      <w:r w:rsidR="0075251F">
        <w:rPr>
          <w:sz w:val="28"/>
          <w:szCs w:val="28"/>
        </w:rPr>
        <w:t xml:space="preserve"> with .0</w:t>
      </w:r>
      <w:r w:rsidR="00073C89">
        <w:rPr>
          <w:sz w:val="28"/>
          <w:szCs w:val="28"/>
        </w:rPr>
        <w:t>4</w:t>
      </w:r>
      <w:r w:rsidR="0075251F">
        <w:rPr>
          <w:sz w:val="28"/>
          <w:szCs w:val="28"/>
        </w:rPr>
        <w:t xml:space="preserve"> for </w:t>
      </w:r>
      <w:r w:rsidR="00073C89">
        <w:rPr>
          <w:sz w:val="28"/>
          <w:szCs w:val="28"/>
        </w:rPr>
        <w:t>recovery</w:t>
      </w:r>
      <w:r w:rsidR="0075251F">
        <w:rPr>
          <w:sz w:val="28"/>
          <w:szCs w:val="28"/>
        </w:rPr>
        <w:t xml:space="preserve"> of prior year losses.   </w:t>
      </w:r>
      <w:r w:rsidR="00DA16BD" w:rsidRPr="00B739BD">
        <w:rPr>
          <w:sz w:val="28"/>
          <w:szCs w:val="28"/>
        </w:rPr>
        <w:t xml:space="preserve"> </w:t>
      </w:r>
    </w:p>
    <w:p w14:paraId="32867A75" w14:textId="77777777" w:rsidR="0075251F" w:rsidRPr="009348EC" w:rsidRDefault="0075251F" w:rsidP="0075251F">
      <w:pPr>
        <w:pStyle w:val="ListParagraph"/>
        <w:spacing w:after="120"/>
        <w:ind w:left="1260"/>
        <w:contextualSpacing w:val="0"/>
        <w:rPr>
          <w:color w:val="FF0000"/>
          <w:sz w:val="12"/>
          <w:szCs w:val="12"/>
        </w:rPr>
      </w:pPr>
    </w:p>
    <w:p w14:paraId="16B39F03" w14:textId="57ACA409" w:rsidR="00BD1630" w:rsidRDefault="00EB6DEA" w:rsidP="00667EBA">
      <w:pPr>
        <w:pStyle w:val="ListParagraph"/>
        <w:numPr>
          <w:ilvl w:val="0"/>
          <w:numId w:val="2"/>
        </w:numPr>
        <w:spacing w:after="120"/>
        <w:ind w:left="1260" w:hanging="540"/>
        <w:contextualSpacing w:val="0"/>
        <w:rPr>
          <w:sz w:val="28"/>
          <w:szCs w:val="28"/>
        </w:rPr>
      </w:pPr>
      <w:r w:rsidRPr="00B739BD">
        <w:rPr>
          <w:sz w:val="28"/>
          <w:szCs w:val="28"/>
        </w:rPr>
        <w:t xml:space="preserve">Utility taxes: </w:t>
      </w:r>
      <w:r w:rsidR="002B0F3D" w:rsidRPr="00B739BD">
        <w:rPr>
          <w:sz w:val="28"/>
          <w:szCs w:val="28"/>
        </w:rPr>
        <w:t xml:space="preserve">Utility taxes </w:t>
      </w:r>
      <w:r w:rsidR="009911BF" w:rsidRPr="00B739BD">
        <w:rPr>
          <w:sz w:val="28"/>
          <w:szCs w:val="28"/>
        </w:rPr>
        <w:t xml:space="preserve">are </w:t>
      </w:r>
      <w:r w:rsidR="002B0F3D" w:rsidRPr="00B739BD">
        <w:rPr>
          <w:sz w:val="28"/>
          <w:szCs w:val="28"/>
        </w:rPr>
        <w:t>collected by the state</w:t>
      </w:r>
      <w:r w:rsidR="00764B55" w:rsidRPr="00B739BD">
        <w:rPr>
          <w:sz w:val="28"/>
          <w:szCs w:val="28"/>
        </w:rPr>
        <w:t xml:space="preserve"> and remitted to the district where we share the collections with Logan County Schools</w:t>
      </w:r>
      <w:r w:rsidR="000329A6" w:rsidRPr="00B739BD">
        <w:rPr>
          <w:sz w:val="28"/>
          <w:szCs w:val="28"/>
        </w:rPr>
        <w:t xml:space="preserve"> based on ADA</w:t>
      </w:r>
      <w:r w:rsidR="00764B55" w:rsidRPr="00B739BD">
        <w:rPr>
          <w:sz w:val="28"/>
          <w:szCs w:val="28"/>
        </w:rPr>
        <w:t xml:space="preserve">.  </w:t>
      </w:r>
      <w:r w:rsidR="00F9735E" w:rsidRPr="00B739BD">
        <w:rPr>
          <w:sz w:val="28"/>
          <w:szCs w:val="28"/>
        </w:rPr>
        <w:t xml:space="preserve">Utility </w:t>
      </w:r>
      <w:r w:rsidR="002B0F3D" w:rsidRPr="00B739BD">
        <w:rPr>
          <w:sz w:val="28"/>
          <w:szCs w:val="28"/>
        </w:rPr>
        <w:t>tax</w:t>
      </w:r>
      <w:r w:rsidR="009911BF" w:rsidRPr="00B739BD">
        <w:rPr>
          <w:sz w:val="28"/>
          <w:szCs w:val="28"/>
        </w:rPr>
        <w:t>es</w:t>
      </w:r>
      <w:r w:rsidR="002B0F3D" w:rsidRPr="00B739BD">
        <w:rPr>
          <w:sz w:val="28"/>
          <w:szCs w:val="28"/>
        </w:rPr>
        <w:t xml:space="preserve"> fluctuate with the severity of the summer and winter seasons.</w:t>
      </w:r>
      <w:r w:rsidR="009911BF" w:rsidRPr="00B739BD">
        <w:rPr>
          <w:sz w:val="28"/>
          <w:szCs w:val="28"/>
        </w:rPr>
        <w:t xml:space="preserve"> </w:t>
      </w:r>
      <w:r w:rsidR="009911BF" w:rsidRPr="004628A4">
        <w:rPr>
          <w:color w:val="FF0000"/>
          <w:sz w:val="28"/>
          <w:szCs w:val="28"/>
        </w:rPr>
        <w:t xml:space="preserve"> </w:t>
      </w:r>
      <w:r w:rsidR="004628A4" w:rsidRPr="0075251F">
        <w:rPr>
          <w:sz w:val="28"/>
          <w:szCs w:val="28"/>
        </w:rPr>
        <w:t>Utility tax collections in FY202</w:t>
      </w:r>
      <w:r w:rsidR="0075251F" w:rsidRPr="0075251F">
        <w:rPr>
          <w:sz w:val="28"/>
          <w:szCs w:val="28"/>
        </w:rPr>
        <w:t>4</w:t>
      </w:r>
      <w:r w:rsidR="004628A4" w:rsidRPr="0075251F">
        <w:rPr>
          <w:sz w:val="28"/>
          <w:szCs w:val="28"/>
        </w:rPr>
        <w:t xml:space="preserve"> were $</w:t>
      </w:r>
      <w:r w:rsidR="00073C89">
        <w:rPr>
          <w:sz w:val="28"/>
          <w:szCs w:val="28"/>
        </w:rPr>
        <w:t>582,441</w:t>
      </w:r>
      <w:r w:rsidR="004628A4" w:rsidRPr="0075251F">
        <w:rPr>
          <w:sz w:val="28"/>
          <w:szCs w:val="28"/>
        </w:rPr>
        <w:t xml:space="preserve">. </w:t>
      </w:r>
      <w:r w:rsidR="009911BF" w:rsidRPr="0075251F">
        <w:rPr>
          <w:sz w:val="28"/>
          <w:szCs w:val="28"/>
        </w:rPr>
        <w:t xml:space="preserve">We have </w:t>
      </w:r>
      <w:r w:rsidR="004425B6" w:rsidRPr="0075251F">
        <w:rPr>
          <w:sz w:val="28"/>
          <w:szCs w:val="28"/>
        </w:rPr>
        <w:t>conservatively</w:t>
      </w:r>
      <w:r w:rsidR="00F9735E" w:rsidRPr="0075251F">
        <w:rPr>
          <w:sz w:val="28"/>
          <w:szCs w:val="28"/>
        </w:rPr>
        <w:t xml:space="preserve"> </w:t>
      </w:r>
      <w:r w:rsidR="009911BF" w:rsidRPr="0075251F">
        <w:rPr>
          <w:sz w:val="28"/>
          <w:szCs w:val="28"/>
        </w:rPr>
        <w:t xml:space="preserve">budgeted revenues </w:t>
      </w:r>
      <w:r w:rsidR="004628A4" w:rsidRPr="0075251F">
        <w:rPr>
          <w:sz w:val="28"/>
          <w:szCs w:val="28"/>
        </w:rPr>
        <w:t>for FY2</w:t>
      </w:r>
      <w:r w:rsidR="0075251F" w:rsidRPr="0075251F">
        <w:rPr>
          <w:sz w:val="28"/>
          <w:szCs w:val="28"/>
        </w:rPr>
        <w:t>5</w:t>
      </w:r>
      <w:r w:rsidR="004628A4" w:rsidRPr="0075251F">
        <w:rPr>
          <w:sz w:val="28"/>
          <w:szCs w:val="28"/>
        </w:rPr>
        <w:t xml:space="preserve"> $5</w:t>
      </w:r>
      <w:r w:rsidR="00C204BE">
        <w:rPr>
          <w:sz w:val="28"/>
          <w:szCs w:val="28"/>
        </w:rPr>
        <w:t>5</w:t>
      </w:r>
      <w:r w:rsidR="004628A4" w:rsidRPr="0075251F">
        <w:rPr>
          <w:sz w:val="28"/>
          <w:szCs w:val="28"/>
        </w:rPr>
        <w:t>0,000</w:t>
      </w:r>
      <w:r w:rsidR="00C204BE">
        <w:rPr>
          <w:sz w:val="28"/>
          <w:szCs w:val="28"/>
        </w:rPr>
        <w:t>.</w:t>
      </w:r>
    </w:p>
    <w:p w14:paraId="1C844E7A" w14:textId="77777777" w:rsidR="0075251F" w:rsidRPr="009348EC" w:rsidRDefault="0075251F" w:rsidP="0075251F">
      <w:pPr>
        <w:pStyle w:val="ListParagraph"/>
        <w:rPr>
          <w:sz w:val="10"/>
          <w:szCs w:val="10"/>
        </w:rPr>
      </w:pPr>
    </w:p>
    <w:p w14:paraId="39BD1652" w14:textId="77777777" w:rsidR="0075251F" w:rsidRDefault="00812FA5" w:rsidP="00667EBA">
      <w:pPr>
        <w:pStyle w:val="ListParagraph"/>
        <w:numPr>
          <w:ilvl w:val="0"/>
          <w:numId w:val="2"/>
        </w:numPr>
        <w:spacing w:after="120"/>
        <w:ind w:left="1260" w:hanging="540"/>
        <w:contextualSpacing w:val="0"/>
        <w:rPr>
          <w:sz w:val="28"/>
          <w:szCs w:val="28"/>
        </w:rPr>
      </w:pPr>
      <w:r w:rsidRPr="00B739BD">
        <w:rPr>
          <w:sz w:val="28"/>
          <w:szCs w:val="28"/>
        </w:rPr>
        <w:t>We are estimating</w:t>
      </w:r>
      <w:r w:rsidR="00F9735E" w:rsidRPr="00B739BD">
        <w:rPr>
          <w:sz w:val="28"/>
          <w:szCs w:val="28"/>
        </w:rPr>
        <w:t xml:space="preserve"> no </w:t>
      </w:r>
      <w:r w:rsidR="008239D3" w:rsidRPr="00B739BD">
        <w:rPr>
          <w:sz w:val="28"/>
          <w:szCs w:val="28"/>
        </w:rPr>
        <w:t>change</w:t>
      </w:r>
      <w:r w:rsidRPr="00B739BD">
        <w:rPr>
          <w:sz w:val="28"/>
          <w:szCs w:val="28"/>
        </w:rPr>
        <w:t xml:space="preserve"> </w:t>
      </w:r>
      <w:r w:rsidR="00B104DB" w:rsidRPr="00B739BD">
        <w:rPr>
          <w:sz w:val="28"/>
          <w:szCs w:val="28"/>
        </w:rPr>
        <w:t xml:space="preserve">in </w:t>
      </w:r>
      <w:r w:rsidR="00521868" w:rsidRPr="00B739BD">
        <w:rPr>
          <w:sz w:val="28"/>
          <w:szCs w:val="28"/>
        </w:rPr>
        <w:t>“</w:t>
      </w:r>
      <w:r w:rsidRPr="00B739BD">
        <w:rPr>
          <w:sz w:val="28"/>
          <w:szCs w:val="28"/>
        </w:rPr>
        <w:t>in lieu of tax</w:t>
      </w:r>
      <w:r w:rsidR="00C76FDD" w:rsidRPr="00B739BD">
        <w:rPr>
          <w:sz w:val="28"/>
          <w:szCs w:val="28"/>
        </w:rPr>
        <w:t>es</w:t>
      </w:r>
      <w:r w:rsidR="009911BF" w:rsidRPr="00B739BD">
        <w:rPr>
          <w:sz w:val="28"/>
          <w:szCs w:val="28"/>
        </w:rPr>
        <w:t>” collected from the Electric Plant Board</w:t>
      </w:r>
      <w:r w:rsidR="00F9735E" w:rsidRPr="00B739BD">
        <w:rPr>
          <w:sz w:val="28"/>
          <w:szCs w:val="28"/>
        </w:rPr>
        <w:t>, Pennyrile Electric</w:t>
      </w:r>
      <w:r w:rsidR="00F3024E">
        <w:rPr>
          <w:sz w:val="28"/>
          <w:szCs w:val="28"/>
        </w:rPr>
        <w:t>,</w:t>
      </w:r>
      <w:r w:rsidR="00F9735E" w:rsidRPr="00B739BD">
        <w:rPr>
          <w:sz w:val="28"/>
          <w:szCs w:val="28"/>
        </w:rPr>
        <w:t xml:space="preserve"> TVA</w:t>
      </w:r>
      <w:r w:rsidR="00F3024E">
        <w:rPr>
          <w:sz w:val="28"/>
          <w:szCs w:val="28"/>
        </w:rPr>
        <w:t xml:space="preserve"> and the housing authority</w:t>
      </w:r>
      <w:r w:rsidR="009911BF" w:rsidRPr="00B739BD">
        <w:rPr>
          <w:sz w:val="28"/>
          <w:szCs w:val="28"/>
        </w:rPr>
        <w:t>.</w:t>
      </w:r>
      <w:r w:rsidR="00F9735E" w:rsidRPr="00B739BD">
        <w:rPr>
          <w:sz w:val="28"/>
          <w:szCs w:val="28"/>
        </w:rPr>
        <w:t xml:space="preserve"> </w:t>
      </w:r>
    </w:p>
    <w:p w14:paraId="260E12F2" w14:textId="77777777" w:rsidR="0075251F" w:rsidRPr="009348EC" w:rsidRDefault="0075251F" w:rsidP="0075251F">
      <w:pPr>
        <w:pStyle w:val="ListParagraph"/>
        <w:rPr>
          <w:sz w:val="14"/>
          <w:szCs w:val="14"/>
        </w:rPr>
      </w:pPr>
    </w:p>
    <w:p w14:paraId="4E101A17" w14:textId="1D3860F5" w:rsidR="006330F2" w:rsidRPr="0005200C" w:rsidRDefault="0039698D" w:rsidP="00667EBA">
      <w:pPr>
        <w:pStyle w:val="ListParagraph"/>
        <w:numPr>
          <w:ilvl w:val="0"/>
          <w:numId w:val="2"/>
        </w:numPr>
        <w:spacing w:after="120"/>
        <w:ind w:left="1260" w:hanging="540"/>
        <w:contextualSpacing w:val="0"/>
        <w:rPr>
          <w:sz w:val="28"/>
          <w:szCs w:val="28"/>
        </w:rPr>
      </w:pPr>
      <w:r w:rsidRPr="0005200C">
        <w:rPr>
          <w:sz w:val="28"/>
          <w:szCs w:val="28"/>
        </w:rPr>
        <w:t>Budgeted investment income</w:t>
      </w:r>
      <w:r w:rsidR="00AC28E2">
        <w:rPr>
          <w:sz w:val="28"/>
          <w:szCs w:val="28"/>
        </w:rPr>
        <w:t>: I</w:t>
      </w:r>
      <w:r w:rsidRPr="0005200C">
        <w:rPr>
          <w:sz w:val="28"/>
          <w:szCs w:val="28"/>
        </w:rPr>
        <w:t xml:space="preserve"> </w:t>
      </w:r>
      <w:r w:rsidR="001A3F99" w:rsidRPr="0005200C">
        <w:rPr>
          <w:sz w:val="28"/>
          <w:szCs w:val="28"/>
        </w:rPr>
        <w:t>expect a higher actual return but want to be conservative in our budgeted revenue.</w:t>
      </w:r>
    </w:p>
    <w:tbl>
      <w:tblPr>
        <w:tblW w:w="6840" w:type="dxa"/>
        <w:tblInd w:w="1627" w:type="dxa"/>
        <w:tblLook w:val="04A0" w:firstRow="1" w:lastRow="0" w:firstColumn="1" w:lastColumn="0" w:noHBand="0" w:noVBand="1"/>
      </w:tblPr>
      <w:tblGrid>
        <w:gridCol w:w="2240"/>
        <w:gridCol w:w="1440"/>
        <w:gridCol w:w="140"/>
        <w:gridCol w:w="130"/>
        <w:gridCol w:w="1440"/>
        <w:gridCol w:w="10"/>
        <w:gridCol w:w="1440"/>
      </w:tblGrid>
      <w:tr w:rsidR="009348EC" w14:paraId="4F770EF8" w14:textId="77777777" w:rsidTr="005F183A">
        <w:trPr>
          <w:trHeight w:val="25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7CDA" w14:textId="77777777" w:rsidR="009348EC" w:rsidRDefault="009348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C329" w14:textId="3AC312BF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  <w:t>PY</w:t>
            </w:r>
            <w:r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  <w:t xml:space="preserve"> Actuals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98704" w14:textId="4515BDD5" w:rsidR="009348EC" w:rsidRDefault="009348EC" w:rsidP="009348EC">
            <w:pPr>
              <w:jc w:val="center"/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  <w:t>Budget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81BE" w14:textId="4443BC1C" w:rsidR="009348EC" w:rsidRDefault="009348EC" w:rsidP="009348EC">
            <w:pPr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</w:p>
        </w:tc>
      </w:tr>
      <w:tr w:rsidR="009348EC" w14:paraId="21780774" w14:textId="77777777" w:rsidTr="009348EC">
        <w:trPr>
          <w:gridAfter w:val="2"/>
          <w:wAfter w:w="1450" w:type="dxa"/>
          <w:trHeight w:val="36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1BBC" w14:textId="77777777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56082"/>
            <w:noWrap/>
            <w:vAlign w:val="center"/>
            <w:hideMark/>
          </w:tcPr>
          <w:p w14:paraId="2BA1C233" w14:textId="77777777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2024 - 2025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F691" w14:textId="77777777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156082"/>
            <w:noWrap/>
            <w:vAlign w:val="center"/>
            <w:hideMark/>
          </w:tcPr>
          <w:p w14:paraId="683702EC" w14:textId="77777777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2025 - 2026</w:t>
            </w:r>
          </w:p>
        </w:tc>
      </w:tr>
      <w:tr w:rsidR="009348EC" w14:paraId="6DDE1C92" w14:textId="77777777" w:rsidTr="009348EC">
        <w:trPr>
          <w:gridAfter w:val="2"/>
          <w:wAfter w:w="1450" w:type="dxa"/>
          <w:trHeight w:val="252"/>
        </w:trPr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2C050" w14:textId="77777777" w:rsidR="009348EC" w:rsidRDefault="009348EC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Revenue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46AD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$        290,488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5476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DEDB" w14:textId="77777777" w:rsidR="009348EC" w:rsidRPr="001A3F99" w:rsidRDefault="009348E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A3F9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$        250,000 </w:t>
            </w:r>
          </w:p>
        </w:tc>
      </w:tr>
      <w:tr w:rsidR="009348EC" w14:paraId="3071D5E3" w14:textId="77777777" w:rsidTr="009348EC">
        <w:trPr>
          <w:gridAfter w:val="2"/>
          <w:wAfter w:w="1450" w:type="dxa"/>
          <w:trHeight w:val="252"/>
        </w:trPr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FB02E6" w14:textId="77777777" w:rsidR="009348EC" w:rsidRDefault="009348EC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Average per Month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8396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$          24,207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FB97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B17D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$          20,833 </w:t>
            </w:r>
          </w:p>
        </w:tc>
      </w:tr>
      <w:tr w:rsidR="009348EC" w:rsidRPr="009348EC" w14:paraId="13ECB0E7" w14:textId="77777777" w:rsidTr="00A02438">
        <w:trPr>
          <w:gridAfter w:val="6"/>
          <w:wAfter w:w="4600" w:type="dxa"/>
          <w:trHeight w:val="26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3843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774ADF8E" w14:textId="12152DAB" w:rsidR="00F9735E" w:rsidRPr="009348EC" w:rsidRDefault="00F9735E" w:rsidP="006330F2">
      <w:pPr>
        <w:spacing w:after="120"/>
        <w:rPr>
          <w:color w:val="FF0000"/>
          <w:sz w:val="4"/>
          <w:szCs w:val="4"/>
        </w:rPr>
      </w:pPr>
    </w:p>
    <w:p w14:paraId="4E13BA4E" w14:textId="07038706" w:rsidR="00415125" w:rsidRPr="00415125" w:rsidRDefault="00466C04" w:rsidP="00667EBA">
      <w:pPr>
        <w:pStyle w:val="ListParagraph"/>
        <w:numPr>
          <w:ilvl w:val="0"/>
          <w:numId w:val="2"/>
        </w:numPr>
        <w:spacing w:after="200" w:line="276" w:lineRule="auto"/>
        <w:ind w:left="1260" w:hanging="540"/>
        <w:contextualSpacing w:val="0"/>
        <w:rPr>
          <w:b/>
          <w:sz w:val="28"/>
          <w:szCs w:val="28"/>
        </w:rPr>
      </w:pPr>
      <w:r w:rsidRPr="00B739BD">
        <w:rPr>
          <w:sz w:val="28"/>
          <w:szCs w:val="28"/>
        </w:rPr>
        <w:t xml:space="preserve">We </w:t>
      </w:r>
      <w:r w:rsidR="006330F2">
        <w:rPr>
          <w:sz w:val="28"/>
          <w:szCs w:val="28"/>
        </w:rPr>
        <w:t xml:space="preserve">also try </w:t>
      </w:r>
      <w:r w:rsidR="00CF47F7">
        <w:rPr>
          <w:sz w:val="28"/>
          <w:szCs w:val="28"/>
        </w:rPr>
        <w:t>to</w:t>
      </w:r>
      <w:r w:rsidR="006330F2">
        <w:rPr>
          <w:sz w:val="28"/>
          <w:szCs w:val="28"/>
        </w:rPr>
        <w:t xml:space="preserve"> </w:t>
      </w:r>
      <w:r w:rsidRPr="00B739BD">
        <w:rPr>
          <w:sz w:val="28"/>
          <w:szCs w:val="28"/>
        </w:rPr>
        <w:t>conservatively budget local tax revenues for the current year.</w:t>
      </w:r>
      <w:r w:rsidR="0041056D" w:rsidRPr="00B739BD">
        <w:rPr>
          <w:sz w:val="28"/>
          <w:szCs w:val="28"/>
        </w:rPr>
        <w:t xml:space="preserve"> </w:t>
      </w:r>
      <w:r w:rsidR="00610F83" w:rsidRPr="00B739BD">
        <w:rPr>
          <w:sz w:val="28"/>
          <w:szCs w:val="28"/>
        </w:rPr>
        <w:t>We hope</w:t>
      </w:r>
      <w:r w:rsidR="000D30E6" w:rsidRPr="00B739BD">
        <w:rPr>
          <w:sz w:val="28"/>
          <w:szCs w:val="28"/>
        </w:rPr>
        <w:t xml:space="preserve"> </w:t>
      </w:r>
      <w:r w:rsidR="003C51A0" w:rsidRPr="00B739BD">
        <w:rPr>
          <w:sz w:val="28"/>
          <w:szCs w:val="28"/>
        </w:rPr>
        <w:t>to maintain a good tax collection rate.</w:t>
      </w:r>
      <w:r w:rsidR="009348EC">
        <w:rPr>
          <w:sz w:val="28"/>
          <w:szCs w:val="28"/>
        </w:rPr>
        <w:t xml:space="preserve"> For reference, in September we received $24,788.79.</w:t>
      </w:r>
    </w:p>
    <w:p w14:paraId="3C261210" w14:textId="4FB834A5" w:rsidR="00415125" w:rsidRPr="00415125" w:rsidRDefault="00415125" w:rsidP="00667EBA">
      <w:pPr>
        <w:pStyle w:val="ListParagraph"/>
        <w:numPr>
          <w:ilvl w:val="0"/>
          <w:numId w:val="2"/>
        </w:numPr>
        <w:spacing w:after="200" w:line="276" w:lineRule="auto"/>
        <w:ind w:left="1260" w:hanging="540"/>
        <w:contextualSpacing w:val="0"/>
        <w:rPr>
          <w:b/>
          <w:sz w:val="28"/>
          <w:szCs w:val="28"/>
        </w:rPr>
      </w:pPr>
      <w:r>
        <w:rPr>
          <w:sz w:val="28"/>
          <w:szCs w:val="28"/>
        </w:rPr>
        <w:t>We will not know our awarded transportation fund until April. I have budgeted an amount consistent with last two fiscal years.</w:t>
      </w:r>
    </w:p>
    <w:p w14:paraId="0E6F3CA1" w14:textId="2F6B9A85" w:rsidR="0030188C" w:rsidRPr="0058719E" w:rsidRDefault="0058719E" w:rsidP="00667EBA">
      <w:pPr>
        <w:pStyle w:val="ListParagraph"/>
        <w:numPr>
          <w:ilvl w:val="0"/>
          <w:numId w:val="2"/>
        </w:numPr>
        <w:spacing w:after="200" w:line="276" w:lineRule="auto"/>
        <w:ind w:left="1260" w:hanging="540"/>
        <w:contextualSpacing w:val="0"/>
        <w:rPr>
          <w:b/>
          <w:sz w:val="28"/>
          <w:szCs w:val="28"/>
        </w:rPr>
      </w:pPr>
      <w:r w:rsidRPr="0058719E">
        <w:rPr>
          <w:b/>
          <w:sz w:val="28"/>
          <w:szCs w:val="28"/>
        </w:rPr>
        <w:br w:type="page"/>
      </w:r>
      <w:r w:rsidR="0030188C" w:rsidRPr="0058719E">
        <w:rPr>
          <w:b/>
          <w:sz w:val="28"/>
          <w:szCs w:val="28"/>
        </w:rPr>
        <w:lastRenderedPageBreak/>
        <w:t>State Revenues:</w:t>
      </w:r>
    </w:p>
    <w:p w14:paraId="22C6600A" w14:textId="6EA788BC" w:rsidR="00AA13DD" w:rsidRPr="009344AE" w:rsidRDefault="004B517E" w:rsidP="009344AE">
      <w:pPr>
        <w:pStyle w:val="ListParagraph"/>
        <w:numPr>
          <w:ilvl w:val="0"/>
          <w:numId w:val="2"/>
        </w:numPr>
        <w:spacing w:after="120"/>
        <w:ind w:left="1260" w:hanging="540"/>
        <w:contextualSpacing w:val="0"/>
        <w:rPr>
          <w:sz w:val="28"/>
          <w:szCs w:val="28"/>
        </w:rPr>
      </w:pPr>
      <w:r w:rsidRPr="00B739BD">
        <w:rPr>
          <w:sz w:val="28"/>
          <w:szCs w:val="28"/>
        </w:rPr>
        <w:t>SEEK</w:t>
      </w:r>
      <w:r w:rsidR="007B0C43" w:rsidRPr="00B739BD">
        <w:rPr>
          <w:sz w:val="28"/>
          <w:szCs w:val="28"/>
        </w:rPr>
        <w:t xml:space="preserve"> per pupil funding </w:t>
      </w:r>
      <w:r w:rsidR="0008746A">
        <w:rPr>
          <w:sz w:val="28"/>
          <w:szCs w:val="28"/>
        </w:rPr>
        <w:t>increased</w:t>
      </w:r>
      <w:r w:rsidR="004628A4">
        <w:rPr>
          <w:sz w:val="28"/>
          <w:szCs w:val="28"/>
        </w:rPr>
        <w:t xml:space="preserve"> $</w:t>
      </w:r>
      <w:r w:rsidR="0005200C">
        <w:rPr>
          <w:sz w:val="28"/>
          <w:szCs w:val="28"/>
        </w:rPr>
        <w:t>260</w:t>
      </w:r>
      <w:r w:rsidR="0008746A">
        <w:rPr>
          <w:sz w:val="28"/>
          <w:szCs w:val="28"/>
        </w:rPr>
        <w:t xml:space="preserve"> to</w:t>
      </w:r>
      <w:r w:rsidR="003C51A0" w:rsidRPr="00B739BD">
        <w:rPr>
          <w:sz w:val="28"/>
          <w:szCs w:val="28"/>
        </w:rPr>
        <w:t xml:space="preserve"> $4,</w:t>
      </w:r>
      <w:r w:rsidR="0005200C">
        <w:rPr>
          <w:sz w:val="28"/>
          <w:szCs w:val="28"/>
        </w:rPr>
        <w:t>586</w:t>
      </w:r>
      <w:r w:rsidR="006330F2">
        <w:rPr>
          <w:sz w:val="28"/>
          <w:szCs w:val="28"/>
        </w:rPr>
        <w:t xml:space="preserve"> </w:t>
      </w:r>
    </w:p>
    <w:p w14:paraId="7817979C" w14:textId="4C73D2D1" w:rsidR="00CF47F7" w:rsidRPr="009348EC" w:rsidRDefault="00E739F1" w:rsidP="00CF47F7">
      <w:pPr>
        <w:pStyle w:val="ListParagraph"/>
        <w:numPr>
          <w:ilvl w:val="0"/>
          <w:numId w:val="2"/>
        </w:numPr>
        <w:spacing w:after="120"/>
        <w:ind w:left="1260" w:hanging="540"/>
        <w:contextualSpacing w:val="0"/>
        <w:rPr>
          <w:sz w:val="28"/>
          <w:szCs w:val="28"/>
        </w:rPr>
      </w:pPr>
      <w:r w:rsidRPr="00667EBA">
        <w:rPr>
          <w:sz w:val="28"/>
          <w:szCs w:val="28"/>
        </w:rPr>
        <w:t xml:space="preserve">SEEK </w:t>
      </w:r>
      <w:r w:rsidR="00CF47F7">
        <w:rPr>
          <w:sz w:val="28"/>
          <w:szCs w:val="28"/>
        </w:rPr>
        <w:t>R</w:t>
      </w:r>
      <w:r w:rsidRPr="00667EBA">
        <w:rPr>
          <w:sz w:val="28"/>
          <w:szCs w:val="28"/>
        </w:rPr>
        <w:t>evenues</w:t>
      </w:r>
      <w:r w:rsidR="00CF47F7">
        <w:rPr>
          <w:sz w:val="28"/>
          <w:szCs w:val="28"/>
        </w:rPr>
        <w:t>:</w:t>
      </w:r>
      <w:r w:rsidRPr="00667EBA">
        <w:rPr>
          <w:sz w:val="28"/>
          <w:szCs w:val="28"/>
        </w:rPr>
        <w:t xml:space="preserve"> </w:t>
      </w:r>
      <w:r w:rsidR="002B7BED" w:rsidRPr="00667EBA">
        <w:rPr>
          <w:sz w:val="28"/>
          <w:szCs w:val="28"/>
        </w:rPr>
        <w:t xml:space="preserve"> </w:t>
      </w:r>
    </w:p>
    <w:tbl>
      <w:tblPr>
        <w:tblW w:w="6853" w:type="dxa"/>
        <w:tblLook w:val="04A0" w:firstRow="1" w:lastRow="0" w:firstColumn="1" w:lastColumn="0" w:noHBand="0" w:noVBand="1"/>
      </w:tblPr>
      <w:tblGrid>
        <w:gridCol w:w="2970"/>
        <w:gridCol w:w="1640"/>
        <w:gridCol w:w="297"/>
        <w:gridCol w:w="1413"/>
        <w:gridCol w:w="70"/>
        <w:gridCol w:w="227"/>
        <w:gridCol w:w="236"/>
      </w:tblGrid>
      <w:tr w:rsidR="00CF47F7" w14:paraId="4AAD25F3" w14:textId="77777777" w:rsidTr="009348EC">
        <w:trPr>
          <w:gridAfter w:val="2"/>
          <w:wAfter w:w="463" w:type="dxa"/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FD0D" w14:textId="77777777" w:rsidR="00CF47F7" w:rsidRDefault="00CF47F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864B628" w14:textId="77777777" w:rsidR="00CF47F7" w:rsidRPr="00CF47F7" w:rsidRDefault="00CF47F7">
            <w:pPr>
              <w:jc w:val="center"/>
              <w:rPr>
                <w:rFonts w:ascii="Aptos Narrow" w:hAnsi="Aptos Narrow"/>
                <w:b/>
                <w:bCs/>
                <w:color w:val="0E2841"/>
              </w:rPr>
            </w:pPr>
            <w:r w:rsidRPr="00CF47F7">
              <w:rPr>
                <w:rFonts w:ascii="Aptos Narrow" w:hAnsi="Aptos Narrow"/>
                <w:b/>
                <w:bCs/>
                <w:color w:val="0E2841"/>
              </w:rPr>
              <w:t>Historical SEEK Revenue - General Fund Only</w:t>
            </w:r>
          </w:p>
        </w:tc>
      </w:tr>
      <w:tr w:rsidR="00CF47F7" w14:paraId="17724737" w14:textId="77777777" w:rsidTr="009348EC">
        <w:trPr>
          <w:trHeight w:val="33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BA35" w14:textId="77777777" w:rsidR="00CF47F7" w:rsidRDefault="00CF47F7">
            <w:pPr>
              <w:jc w:val="center"/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88C6" w14:textId="49E074AC" w:rsidR="00CF47F7" w:rsidRDefault="00CF47F7" w:rsidP="009348EC">
            <w:pPr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  <w:t>Prior FY Actuals</w:t>
            </w:r>
            <w:r w:rsidR="009348EC"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  <w:t xml:space="preserve">                     Budget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0824" w14:textId="77777777" w:rsidR="00CF47F7" w:rsidRDefault="00CF47F7">
            <w:pPr>
              <w:jc w:val="center"/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42B8" w14:textId="5C7B3DDA" w:rsidR="00CF47F7" w:rsidRDefault="00CF47F7">
            <w:pPr>
              <w:jc w:val="center"/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</w:p>
        </w:tc>
      </w:tr>
      <w:tr w:rsidR="009348EC" w14:paraId="484CFE77" w14:textId="77777777" w:rsidTr="009348EC">
        <w:trPr>
          <w:gridAfter w:val="2"/>
          <w:wAfter w:w="463" w:type="dxa"/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CF91" w14:textId="77777777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0E2841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56082"/>
            <w:noWrap/>
            <w:vAlign w:val="center"/>
            <w:hideMark/>
          </w:tcPr>
          <w:p w14:paraId="18AB5FDC" w14:textId="77777777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2024 - 2025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3598" w14:textId="77777777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56082"/>
            <w:noWrap/>
            <w:vAlign w:val="center"/>
            <w:hideMark/>
          </w:tcPr>
          <w:p w14:paraId="07D9C451" w14:textId="77777777" w:rsidR="009348EC" w:rsidRDefault="009348EC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2025 - 2026</w:t>
            </w:r>
          </w:p>
        </w:tc>
      </w:tr>
      <w:tr w:rsidR="009348EC" w14:paraId="28C3E19F" w14:textId="77777777" w:rsidTr="009348EC">
        <w:trPr>
          <w:gridAfter w:val="2"/>
          <w:wAfter w:w="463" w:type="dxa"/>
          <w:trHeight w:val="290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AF28F" w14:textId="77777777" w:rsidR="009348EC" w:rsidRDefault="009348EC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Revenue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F6BC" w14:textId="77777777" w:rsidR="009348EC" w:rsidRDefault="009348E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$         5,289,360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6136" w14:textId="77777777" w:rsidR="009348EC" w:rsidRDefault="009348E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496E" w14:textId="77777777" w:rsidR="009348EC" w:rsidRDefault="009348E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$    5,434,712 </w:t>
            </w:r>
          </w:p>
        </w:tc>
      </w:tr>
      <w:tr w:rsidR="009348EC" w14:paraId="119B4453" w14:textId="77777777" w:rsidTr="009348EC">
        <w:trPr>
          <w:gridAfter w:val="2"/>
          <w:wAfter w:w="463" w:type="dxa"/>
          <w:trHeight w:val="304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B3505F" w14:textId="77777777" w:rsidR="009348EC" w:rsidRDefault="009348EC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YoY Increase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2C0E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$            163,719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F9A5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D946" w14:textId="77777777" w:rsidR="009348EC" w:rsidRDefault="009348E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$       145,352 </w:t>
            </w:r>
          </w:p>
        </w:tc>
      </w:tr>
    </w:tbl>
    <w:p w14:paraId="2BBC8A35" w14:textId="77777777" w:rsidR="0058719E" w:rsidRDefault="0058719E">
      <w:pPr>
        <w:spacing w:after="200" w:line="276" w:lineRule="auto"/>
        <w:rPr>
          <w:b/>
          <w:sz w:val="28"/>
          <w:szCs w:val="28"/>
        </w:rPr>
      </w:pPr>
    </w:p>
    <w:p w14:paraId="7B0ED6B0" w14:textId="77777777" w:rsidR="00527E9E" w:rsidRPr="00B739BD" w:rsidRDefault="00527E9E" w:rsidP="00527E9E">
      <w:pPr>
        <w:spacing w:after="120"/>
        <w:ind w:firstLine="360"/>
        <w:rPr>
          <w:b/>
          <w:sz w:val="28"/>
          <w:szCs w:val="28"/>
        </w:rPr>
      </w:pPr>
      <w:proofErr w:type="gramStart"/>
      <w:r w:rsidRPr="00B739BD">
        <w:rPr>
          <w:b/>
          <w:sz w:val="28"/>
          <w:szCs w:val="28"/>
        </w:rPr>
        <w:t>Expenditures</w:t>
      </w:r>
      <w:proofErr w:type="gramEnd"/>
      <w:r w:rsidRPr="00B739BD">
        <w:rPr>
          <w:b/>
          <w:sz w:val="28"/>
          <w:szCs w:val="28"/>
        </w:rPr>
        <w:t>:</w:t>
      </w:r>
    </w:p>
    <w:p w14:paraId="75E95BB8" w14:textId="2D5F95F9" w:rsidR="0058719E" w:rsidRPr="007062C8" w:rsidRDefault="00180C96" w:rsidP="007062C8">
      <w:pPr>
        <w:pStyle w:val="ListParagraph"/>
        <w:numPr>
          <w:ilvl w:val="0"/>
          <w:numId w:val="2"/>
        </w:numPr>
        <w:spacing w:after="200" w:line="276" w:lineRule="auto"/>
        <w:ind w:hanging="5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Utilities: </w:t>
      </w:r>
      <w:r w:rsidR="00524883" w:rsidRPr="00524883">
        <w:rPr>
          <w:sz w:val="28"/>
          <w:szCs w:val="28"/>
        </w:rPr>
        <w:t xml:space="preserve">During the previous fiscal </w:t>
      </w:r>
      <w:r w:rsidR="007062C8" w:rsidRPr="00524883">
        <w:rPr>
          <w:sz w:val="28"/>
          <w:szCs w:val="28"/>
        </w:rPr>
        <w:t>year,</w:t>
      </w:r>
      <w:r w:rsidR="00524883" w:rsidRPr="00524883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electrical and gas </w:t>
      </w:r>
      <w:r w:rsidR="00524883" w:rsidRPr="00524883">
        <w:rPr>
          <w:sz w:val="28"/>
          <w:szCs w:val="28"/>
        </w:rPr>
        <w:t>utility cost</w:t>
      </w:r>
      <w:r w:rsidR="00610F83">
        <w:rPr>
          <w:sz w:val="28"/>
          <w:szCs w:val="28"/>
        </w:rPr>
        <w:t>s</w:t>
      </w:r>
      <w:r w:rsidR="00524883" w:rsidRPr="00524883">
        <w:rPr>
          <w:sz w:val="28"/>
          <w:szCs w:val="28"/>
        </w:rPr>
        <w:t xml:space="preserve"> </w:t>
      </w:r>
      <w:r w:rsidR="007062C8">
        <w:rPr>
          <w:sz w:val="28"/>
          <w:szCs w:val="28"/>
        </w:rPr>
        <w:t>were lower th</w:t>
      </w:r>
      <w:r w:rsidR="00BD1045">
        <w:rPr>
          <w:sz w:val="28"/>
          <w:szCs w:val="28"/>
        </w:rPr>
        <w:t>an budget; however, they were still higher than fiscal year actuals, so budget remains constant with FY25.</w:t>
      </w:r>
      <w:r w:rsidR="007062C8">
        <w:rPr>
          <w:sz w:val="28"/>
          <w:szCs w:val="28"/>
        </w:rPr>
        <w:t xml:space="preserve"> </w:t>
      </w:r>
      <w:r w:rsidR="00524883" w:rsidRPr="007062C8">
        <w:rPr>
          <w:sz w:val="28"/>
          <w:szCs w:val="28"/>
        </w:rPr>
        <w:t xml:space="preserve">We </w:t>
      </w:r>
      <w:r w:rsidR="0057711A" w:rsidRPr="007062C8">
        <w:rPr>
          <w:sz w:val="28"/>
          <w:szCs w:val="28"/>
        </w:rPr>
        <w:t xml:space="preserve">are continuing to </w:t>
      </w:r>
      <w:r w:rsidR="00524883" w:rsidRPr="007062C8">
        <w:rPr>
          <w:sz w:val="28"/>
          <w:szCs w:val="28"/>
        </w:rPr>
        <w:t xml:space="preserve">monitor the cost and maintain </w:t>
      </w:r>
      <w:r w:rsidR="0057711A" w:rsidRPr="007062C8">
        <w:rPr>
          <w:sz w:val="28"/>
          <w:szCs w:val="28"/>
        </w:rPr>
        <w:t>operational efficiencies.</w:t>
      </w:r>
      <w:r w:rsidRPr="007062C8">
        <w:rPr>
          <w:sz w:val="28"/>
          <w:szCs w:val="28"/>
        </w:rPr>
        <w:t xml:space="preserve">  </w:t>
      </w:r>
    </w:p>
    <w:p w14:paraId="1470A3EC" w14:textId="77777777" w:rsidR="009B23DF" w:rsidRDefault="009353E1" w:rsidP="00524883">
      <w:pPr>
        <w:pStyle w:val="ListParagraph"/>
        <w:numPr>
          <w:ilvl w:val="0"/>
          <w:numId w:val="2"/>
        </w:numPr>
        <w:spacing w:after="240"/>
        <w:ind w:hanging="547"/>
        <w:rPr>
          <w:sz w:val="28"/>
          <w:szCs w:val="28"/>
        </w:rPr>
      </w:pPr>
      <w:r w:rsidRPr="00E537A1">
        <w:rPr>
          <w:sz w:val="28"/>
          <w:szCs w:val="28"/>
        </w:rPr>
        <w:t>Other budget areas:</w:t>
      </w:r>
      <w:r w:rsidR="007A165B" w:rsidRPr="00E537A1">
        <w:rPr>
          <w:sz w:val="28"/>
          <w:szCs w:val="28"/>
        </w:rPr>
        <w:t xml:space="preserve"> </w:t>
      </w:r>
    </w:p>
    <w:p w14:paraId="339F72BB" w14:textId="77777777" w:rsidR="009344AE" w:rsidRPr="00E537A1" w:rsidRDefault="009344AE" w:rsidP="009344AE">
      <w:pPr>
        <w:pStyle w:val="ListParagraph"/>
        <w:spacing w:after="240"/>
        <w:ind w:left="1170"/>
        <w:rPr>
          <w:sz w:val="28"/>
          <w:szCs w:val="28"/>
        </w:rPr>
      </w:pPr>
    </w:p>
    <w:p w14:paraId="1AE76D94" w14:textId="52F7752B" w:rsidR="009348EC" w:rsidRPr="009348EC" w:rsidRDefault="009348EC" w:rsidP="009348EC">
      <w:pPr>
        <w:pStyle w:val="ListParagraph"/>
        <w:numPr>
          <w:ilvl w:val="0"/>
          <w:numId w:val="4"/>
        </w:numPr>
        <w:spacing w:after="120"/>
        <w:ind w:left="1800"/>
        <w:contextualSpacing w:val="0"/>
        <w:rPr>
          <w:sz w:val="28"/>
          <w:szCs w:val="28"/>
        </w:rPr>
      </w:pPr>
      <w:r>
        <w:rPr>
          <w:sz w:val="28"/>
          <w:szCs w:val="28"/>
        </w:rPr>
        <w:t>Insurance premiums raised with assessment/improvements</w:t>
      </w:r>
    </w:p>
    <w:p w14:paraId="5A42DDF8" w14:textId="190BFBA6" w:rsidR="009344AE" w:rsidRDefault="000C4447" w:rsidP="009344AE">
      <w:pPr>
        <w:pStyle w:val="ListParagraph"/>
        <w:numPr>
          <w:ilvl w:val="0"/>
          <w:numId w:val="4"/>
        </w:numPr>
        <w:spacing w:after="120"/>
        <w:ind w:left="1800"/>
        <w:contextualSpacing w:val="0"/>
        <w:rPr>
          <w:sz w:val="28"/>
          <w:szCs w:val="28"/>
        </w:rPr>
      </w:pPr>
      <w:r w:rsidRPr="007062C8">
        <w:rPr>
          <w:sz w:val="28"/>
          <w:szCs w:val="28"/>
        </w:rPr>
        <w:t>As we monitor the finances during the year, we will fund selective projects to upgrade and improve the district facilities</w:t>
      </w:r>
      <w:r w:rsidR="00E537A1" w:rsidRPr="007062C8">
        <w:rPr>
          <w:sz w:val="28"/>
          <w:szCs w:val="28"/>
        </w:rPr>
        <w:t>.</w:t>
      </w:r>
      <w:r w:rsidR="00817BA7" w:rsidRPr="007062C8">
        <w:rPr>
          <w:sz w:val="28"/>
          <w:szCs w:val="28"/>
        </w:rPr>
        <w:t xml:space="preserve"> We will utilize the </w:t>
      </w:r>
      <w:r w:rsidR="00610F83" w:rsidRPr="007062C8">
        <w:rPr>
          <w:sz w:val="28"/>
          <w:szCs w:val="28"/>
        </w:rPr>
        <w:t xml:space="preserve">restricted </w:t>
      </w:r>
      <w:r w:rsidR="00817BA7" w:rsidRPr="007062C8">
        <w:rPr>
          <w:sz w:val="28"/>
          <w:szCs w:val="28"/>
        </w:rPr>
        <w:t>capital projects funds when</w:t>
      </w:r>
      <w:r w:rsidR="00610F83" w:rsidRPr="007062C8">
        <w:rPr>
          <w:sz w:val="28"/>
          <w:szCs w:val="28"/>
        </w:rPr>
        <w:t xml:space="preserve"> available</w:t>
      </w:r>
    </w:p>
    <w:p w14:paraId="57D81E37" w14:textId="4D8BDB99" w:rsidR="009348EC" w:rsidRDefault="009348EC" w:rsidP="009344AE">
      <w:pPr>
        <w:pStyle w:val="ListParagraph"/>
        <w:numPr>
          <w:ilvl w:val="0"/>
          <w:numId w:val="4"/>
        </w:numPr>
        <w:spacing w:after="120"/>
        <w:ind w:left="1800"/>
        <w:contextualSpacing w:val="0"/>
        <w:rPr>
          <w:sz w:val="28"/>
          <w:szCs w:val="28"/>
        </w:rPr>
      </w:pPr>
      <w:r>
        <w:rPr>
          <w:sz w:val="28"/>
          <w:szCs w:val="28"/>
        </w:rPr>
        <w:t>Chromebook expense</w:t>
      </w:r>
    </w:p>
    <w:p w14:paraId="5218E369" w14:textId="4E316A19" w:rsidR="00114235" w:rsidRDefault="00114235" w:rsidP="009344AE">
      <w:pPr>
        <w:pStyle w:val="ListParagraph"/>
        <w:numPr>
          <w:ilvl w:val="0"/>
          <w:numId w:val="4"/>
        </w:numPr>
        <w:spacing w:after="120"/>
        <w:ind w:left="1800"/>
        <w:contextualSpacing w:val="0"/>
        <w:rPr>
          <w:sz w:val="28"/>
          <w:szCs w:val="28"/>
        </w:rPr>
      </w:pPr>
      <w:r>
        <w:rPr>
          <w:sz w:val="28"/>
          <w:szCs w:val="28"/>
        </w:rPr>
        <w:t>New bus expense</w:t>
      </w:r>
    </w:p>
    <w:p w14:paraId="6FE63E74" w14:textId="77777777" w:rsidR="009348EC" w:rsidRPr="009344AE" w:rsidRDefault="009348EC" w:rsidP="009348EC">
      <w:pPr>
        <w:pStyle w:val="ListParagraph"/>
        <w:spacing w:after="120"/>
        <w:ind w:left="1800"/>
        <w:contextualSpacing w:val="0"/>
        <w:rPr>
          <w:sz w:val="28"/>
          <w:szCs w:val="28"/>
        </w:rPr>
      </w:pPr>
    </w:p>
    <w:p w14:paraId="2EB076CC" w14:textId="485A43EC" w:rsidR="00874AA6" w:rsidRPr="00DF656B" w:rsidRDefault="00874AA6" w:rsidP="00817BA7">
      <w:pPr>
        <w:pStyle w:val="ListParagraph"/>
        <w:numPr>
          <w:ilvl w:val="1"/>
          <w:numId w:val="1"/>
        </w:numPr>
        <w:spacing w:after="200" w:line="276" w:lineRule="auto"/>
        <w:ind w:left="1440" w:hanging="540"/>
        <w:contextualSpacing w:val="0"/>
        <w:rPr>
          <w:bCs/>
          <w:sz w:val="28"/>
          <w:szCs w:val="28"/>
        </w:rPr>
      </w:pPr>
      <w:r w:rsidRPr="00DF656B">
        <w:rPr>
          <w:bCs/>
          <w:sz w:val="28"/>
          <w:szCs w:val="28"/>
        </w:rPr>
        <w:t>Capital Outlay &amp; Building Funds:</w:t>
      </w:r>
    </w:p>
    <w:p w14:paraId="144A0F01" w14:textId="74C5CD95" w:rsidR="007062C8" w:rsidRDefault="0004088D" w:rsidP="009344AE">
      <w:pPr>
        <w:pStyle w:val="ListParagraph"/>
        <w:numPr>
          <w:ilvl w:val="1"/>
          <w:numId w:val="2"/>
        </w:numPr>
        <w:spacing w:after="120"/>
        <w:contextualSpacing w:val="0"/>
        <w:rPr>
          <w:sz w:val="28"/>
          <w:szCs w:val="28"/>
        </w:rPr>
      </w:pPr>
      <w:r w:rsidRPr="007062C8">
        <w:rPr>
          <w:sz w:val="28"/>
          <w:szCs w:val="28"/>
        </w:rPr>
        <w:t>After paying debt service</w:t>
      </w:r>
      <w:r w:rsidR="00552D56" w:rsidRPr="007062C8">
        <w:rPr>
          <w:sz w:val="28"/>
          <w:szCs w:val="28"/>
        </w:rPr>
        <w:t xml:space="preserve"> </w:t>
      </w:r>
      <w:r w:rsidRPr="007062C8">
        <w:rPr>
          <w:sz w:val="28"/>
          <w:szCs w:val="28"/>
        </w:rPr>
        <w:t>we have an excess of capital funds of $</w:t>
      </w:r>
      <w:r w:rsidR="007062C8" w:rsidRPr="007062C8">
        <w:rPr>
          <w:sz w:val="28"/>
          <w:szCs w:val="28"/>
        </w:rPr>
        <w:t>9</w:t>
      </w:r>
      <w:r w:rsidR="005F7FD9">
        <w:rPr>
          <w:sz w:val="28"/>
          <w:szCs w:val="28"/>
        </w:rPr>
        <w:t>0,428</w:t>
      </w:r>
      <w:r w:rsidR="007062C8" w:rsidRPr="007062C8">
        <w:rPr>
          <w:sz w:val="28"/>
          <w:szCs w:val="28"/>
        </w:rPr>
        <w:t xml:space="preserve">.00 which is committed in </w:t>
      </w:r>
      <w:proofErr w:type="gramStart"/>
      <w:r w:rsidR="007062C8" w:rsidRPr="007062C8">
        <w:rPr>
          <w:sz w:val="28"/>
          <w:szCs w:val="28"/>
        </w:rPr>
        <w:t>the BG1</w:t>
      </w:r>
      <w:proofErr w:type="gramEnd"/>
      <w:r w:rsidR="007062C8" w:rsidRPr="007062C8">
        <w:rPr>
          <w:sz w:val="28"/>
          <w:szCs w:val="28"/>
        </w:rPr>
        <w:t xml:space="preserve"> for the SES Roof Project and $</w:t>
      </w:r>
      <w:r w:rsidR="005F7FD9">
        <w:rPr>
          <w:sz w:val="28"/>
          <w:szCs w:val="28"/>
        </w:rPr>
        <w:t>96,239.00</w:t>
      </w:r>
      <w:r w:rsidR="007062C8" w:rsidRPr="007062C8">
        <w:rPr>
          <w:sz w:val="28"/>
          <w:szCs w:val="28"/>
        </w:rPr>
        <w:t xml:space="preserve"> which </w:t>
      </w:r>
      <w:r w:rsidR="005F7FD9">
        <w:rPr>
          <w:sz w:val="28"/>
          <w:szCs w:val="28"/>
        </w:rPr>
        <w:t>is committed to insurance.</w:t>
      </w:r>
      <w:r w:rsidR="007062C8" w:rsidRPr="005F7FD9">
        <w:rPr>
          <w:sz w:val="28"/>
          <w:szCs w:val="28"/>
        </w:rPr>
        <w:t xml:space="preserve">  </w:t>
      </w:r>
    </w:p>
    <w:p w14:paraId="172A5194" w14:textId="77777777" w:rsidR="009344AE" w:rsidRPr="009344AE" w:rsidRDefault="009344AE" w:rsidP="009344AE">
      <w:pPr>
        <w:spacing w:after="120"/>
        <w:rPr>
          <w:sz w:val="28"/>
          <w:szCs w:val="28"/>
        </w:rPr>
      </w:pPr>
    </w:p>
    <w:p w14:paraId="42DF9711" w14:textId="12C33492" w:rsidR="00A0427E" w:rsidRPr="00E03606" w:rsidRDefault="005F7FD9" w:rsidP="00690107">
      <w:pPr>
        <w:spacing w:after="120"/>
        <w:ind w:left="360"/>
        <w:rPr>
          <w:sz w:val="28"/>
          <w:szCs w:val="28"/>
        </w:rPr>
      </w:pPr>
      <w:r>
        <w:rPr>
          <w:sz w:val="28"/>
          <w:szCs w:val="28"/>
        </w:rPr>
        <w:t>Macy Epley</w:t>
      </w:r>
    </w:p>
    <w:sectPr w:rsidR="00A0427E" w:rsidRPr="00E03606" w:rsidSect="009764EE">
      <w:pgSz w:w="12240" w:h="15840"/>
      <w:pgMar w:top="1080" w:right="117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6151"/>
    <w:multiLevelType w:val="hybridMultilevel"/>
    <w:tmpl w:val="381E21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6E01D20"/>
    <w:multiLevelType w:val="hybridMultilevel"/>
    <w:tmpl w:val="7256E7BE"/>
    <w:lvl w:ilvl="0" w:tplc="27A8CA98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185482"/>
    <w:multiLevelType w:val="hybridMultilevel"/>
    <w:tmpl w:val="6958CBA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680732F1"/>
    <w:multiLevelType w:val="hybridMultilevel"/>
    <w:tmpl w:val="525CEC4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435278">
    <w:abstractNumId w:val="3"/>
  </w:num>
  <w:num w:numId="2" w16cid:durableId="1583880092">
    <w:abstractNumId w:val="1"/>
  </w:num>
  <w:num w:numId="3" w16cid:durableId="1540971841">
    <w:abstractNumId w:val="2"/>
  </w:num>
  <w:num w:numId="4" w16cid:durableId="40907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DA"/>
    <w:rsid w:val="00007B53"/>
    <w:rsid w:val="000133FA"/>
    <w:rsid w:val="0001704F"/>
    <w:rsid w:val="000178C7"/>
    <w:rsid w:val="000329A6"/>
    <w:rsid w:val="00032E2C"/>
    <w:rsid w:val="0004088D"/>
    <w:rsid w:val="000432C3"/>
    <w:rsid w:val="0005200C"/>
    <w:rsid w:val="0005209B"/>
    <w:rsid w:val="00073909"/>
    <w:rsid w:val="00073AA1"/>
    <w:rsid w:val="00073C89"/>
    <w:rsid w:val="000764C3"/>
    <w:rsid w:val="00081E69"/>
    <w:rsid w:val="0008746A"/>
    <w:rsid w:val="00093EA6"/>
    <w:rsid w:val="000A15E4"/>
    <w:rsid w:val="000B76DA"/>
    <w:rsid w:val="000C4447"/>
    <w:rsid w:val="000C77E9"/>
    <w:rsid w:val="000D30E6"/>
    <w:rsid w:val="00114235"/>
    <w:rsid w:val="00165CBD"/>
    <w:rsid w:val="00180C96"/>
    <w:rsid w:val="00182088"/>
    <w:rsid w:val="00185CB1"/>
    <w:rsid w:val="00196B68"/>
    <w:rsid w:val="001A3311"/>
    <w:rsid w:val="001A3F99"/>
    <w:rsid w:val="001F01E3"/>
    <w:rsid w:val="001F1C16"/>
    <w:rsid w:val="00210BA2"/>
    <w:rsid w:val="0026008E"/>
    <w:rsid w:val="002832ED"/>
    <w:rsid w:val="00293DE3"/>
    <w:rsid w:val="002A47C7"/>
    <w:rsid w:val="002B0F3D"/>
    <w:rsid w:val="002B7BED"/>
    <w:rsid w:val="002C6235"/>
    <w:rsid w:val="002C6D28"/>
    <w:rsid w:val="002E537F"/>
    <w:rsid w:val="002F6A3B"/>
    <w:rsid w:val="0030188C"/>
    <w:rsid w:val="00310053"/>
    <w:rsid w:val="003100AF"/>
    <w:rsid w:val="00332DE2"/>
    <w:rsid w:val="00333363"/>
    <w:rsid w:val="00333932"/>
    <w:rsid w:val="0035434F"/>
    <w:rsid w:val="00367301"/>
    <w:rsid w:val="003726A2"/>
    <w:rsid w:val="0038351C"/>
    <w:rsid w:val="00385866"/>
    <w:rsid w:val="00395B63"/>
    <w:rsid w:val="00395C54"/>
    <w:rsid w:val="0039698D"/>
    <w:rsid w:val="003976FA"/>
    <w:rsid w:val="003A0E68"/>
    <w:rsid w:val="003B272B"/>
    <w:rsid w:val="003B7054"/>
    <w:rsid w:val="003C51A0"/>
    <w:rsid w:val="003D4DAC"/>
    <w:rsid w:val="0041056D"/>
    <w:rsid w:val="0041312C"/>
    <w:rsid w:val="00415125"/>
    <w:rsid w:val="0042413B"/>
    <w:rsid w:val="00433D15"/>
    <w:rsid w:val="00440FAD"/>
    <w:rsid w:val="004425B6"/>
    <w:rsid w:val="0046110A"/>
    <w:rsid w:val="004628A4"/>
    <w:rsid w:val="00466C04"/>
    <w:rsid w:val="0047365E"/>
    <w:rsid w:val="00497C5A"/>
    <w:rsid w:val="004B3C68"/>
    <w:rsid w:val="004B4EFC"/>
    <w:rsid w:val="004B517E"/>
    <w:rsid w:val="004C2B09"/>
    <w:rsid w:val="004D63BA"/>
    <w:rsid w:val="004E0721"/>
    <w:rsid w:val="004E50B6"/>
    <w:rsid w:val="004E7A2E"/>
    <w:rsid w:val="00502024"/>
    <w:rsid w:val="0050265C"/>
    <w:rsid w:val="00506C4E"/>
    <w:rsid w:val="005148D0"/>
    <w:rsid w:val="00517968"/>
    <w:rsid w:val="00521868"/>
    <w:rsid w:val="00524883"/>
    <w:rsid w:val="00525048"/>
    <w:rsid w:val="00527E9E"/>
    <w:rsid w:val="00550A5B"/>
    <w:rsid w:val="00552D56"/>
    <w:rsid w:val="005627D2"/>
    <w:rsid w:val="0056345B"/>
    <w:rsid w:val="0057711A"/>
    <w:rsid w:val="0058719E"/>
    <w:rsid w:val="0059365A"/>
    <w:rsid w:val="005A3107"/>
    <w:rsid w:val="005A7CC3"/>
    <w:rsid w:val="005B45B3"/>
    <w:rsid w:val="005D03E3"/>
    <w:rsid w:val="005D47D5"/>
    <w:rsid w:val="005E03A4"/>
    <w:rsid w:val="005E6136"/>
    <w:rsid w:val="005F3BC2"/>
    <w:rsid w:val="005F7FD9"/>
    <w:rsid w:val="00602DDF"/>
    <w:rsid w:val="00605DFC"/>
    <w:rsid w:val="006063C7"/>
    <w:rsid w:val="00610F83"/>
    <w:rsid w:val="00612D05"/>
    <w:rsid w:val="00623C11"/>
    <w:rsid w:val="006330F2"/>
    <w:rsid w:val="0064653B"/>
    <w:rsid w:val="006471B2"/>
    <w:rsid w:val="006530C9"/>
    <w:rsid w:val="00667EBA"/>
    <w:rsid w:val="00690107"/>
    <w:rsid w:val="006A47C8"/>
    <w:rsid w:val="006B60BA"/>
    <w:rsid w:val="007062C8"/>
    <w:rsid w:val="00710A68"/>
    <w:rsid w:val="00727AE9"/>
    <w:rsid w:val="00741252"/>
    <w:rsid w:val="0075251F"/>
    <w:rsid w:val="007626F7"/>
    <w:rsid w:val="00764B55"/>
    <w:rsid w:val="007905AC"/>
    <w:rsid w:val="00791FB9"/>
    <w:rsid w:val="00793F76"/>
    <w:rsid w:val="00795252"/>
    <w:rsid w:val="007A165B"/>
    <w:rsid w:val="007A18B0"/>
    <w:rsid w:val="007B0C43"/>
    <w:rsid w:val="007B23AB"/>
    <w:rsid w:val="007B7561"/>
    <w:rsid w:val="007E6178"/>
    <w:rsid w:val="007F0499"/>
    <w:rsid w:val="007F4977"/>
    <w:rsid w:val="00812FA5"/>
    <w:rsid w:val="00817BA7"/>
    <w:rsid w:val="008239D3"/>
    <w:rsid w:val="008611A1"/>
    <w:rsid w:val="008723C5"/>
    <w:rsid w:val="00874AA6"/>
    <w:rsid w:val="008821A4"/>
    <w:rsid w:val="0089028C"/>
    <w:rsid w:val="00897A13"/>
    <w:rsid w:val="008A4CD7"/>
    <w:rsid w:val="008A52CB"/>
    <w:rsid w:val="008B18A9"/>
    <w:rsid w:val="008B5D87"/>
    <w:rsid w:val="008C1A22"/>
    <w:rsid w:val="008C5FFB"/>
    <w:rsid w:val="008C6267"/>
    <w:rsid w:val="008E12FA"/>
    <w:rsid w:val="008E1DC4"/>
    <w:rsid w:val="008E4D79"/>
    <w:rsid w:val="008F17C2"/>
    <w:rsid w:val="008F7D85"/>
    <w:rsid w:val="00914D94"/>
    <w:rsid w:val="009344AE"/>
    <w:rsid w:val="009348EC"/>
    <w:rsid w:val="009353E1"/>
    <w:rsid w:val="009353EF"/>
    <w:rsid w:val="009453F0"/>
    <w:rsid w:val="0096337E"/>
    <w:rsid w:val="009764EE"/>
    <w:rsid w:val="00980575"/>
    <w:rsid w:val="00986BD2"/>
    <w:rsid w:val="00990272"/>
    <w:rsid w:val="009911BF"/>
    <w:rsid w:val="0099269D"/>
    <w:rsid w:val="009B0530"/>
    <w:rsid w:val="009B1F22"/>
    <w:rsid w:val="009B23DF"/>
    <w:rsid w:val="009B2CAC"/>
    <w:rsid w:val="009C4274"/>
    <w:rsid w:val="009D2137"/>
    <w:rsid w:val="009D31FC"/>
    <w:rsid w:val="009D52B5"/>
    <w:rsid w:val="009F2A5D"/>
    <w:rsid w:val="00A03D0C"/>
    <w:rsid w:val="00A0427E"/>
    <w:rsid w:val="00A06C23"/>
    <w:rsid w:val="00A07882"/>
    <w:rsid w:val="00A22B91"/>
    <w:rsid w:val="00A3565C"/>
    <w:rsid w:val="00A4063F"/>
    <w:rsid w:val="00A613CC"/>
    <w:rsid w:val="00A65359"/>
    <w:rsid w:val="00A74A9F"/>
    <w:rsid w:val="00A808B0"/>
    <w:rsid w:val="00AA13DD"/>
    <w:rsid w:val="00AA4670"/>
    <w:rsid w:val="00AB4DB7"/>
    <w:rsid w:val="00AB5D8E"/>
    <w:rsid w:val="00AB7991"/>
    <w:rsid w:val="00AC28E2"/>
    <w:rsid w:val="00AD5E95"/>
    <w:rsid w:val="00AD786D"/>
    <w:rsid w:val="00AE24C5"/>
    <w:rsid w:val="00AE2E49"/>
    <w:rsid w:val="00AF4192"/>
    <w:rsid w:val="00B0431B"/>
    <w:rsid w:val="00B104DB"/>
    <w:rsid w:val="00B12802"/>
    <w:rsid w:val="00B20EB5"/>
    <w:rsid w:val="00B27FDA"/>
    <w:rsid w:val="00B4112C"/>
    <w:rsid w:val="00B42B5D"/>
    <w:rsid w:val="00B739BD"/>
    <w:rsid w:val="00B7433C"/>
    <w:rsid w:val="00B77DDC"/>
    <w:rsid w:val="00B82505"/>
    <w:rsid w:val="00B94349"/>
    <w:rsid w:val="00BA0513"/>
    <w:rsid w:val="00BA4E20"/>
    <w:rsid w:val="00BA7AEE"/>
    <w:rsid w:val="00BB0FE8"/>
    <w:rsid w:val="00BC7F15"/>
    <w:rsid w:val="00BD1045"/>
    <w:rsid w:val="00BD1630"/>
    <w:rsid w:val="00BD2A27"/>
    <w:rsid w:val="00BD556C"/>
    <w:rsid w:val="00BE1D3D"/>
    <w:rsid w:val="00BE313D"/>
    <w:rsid w:val="00BF233B"/>
    <w:rsid w:val="00BF2775"/>
    <w:rsid w:val="00BF47D3"/>
    <w:rsid w:val="00C11095"/>
    <w:rsid w:val="00C204BE"/>
    <w:rsid w:val="00C416F7"/>
    <w:rsid w:val="00C44686"/>
    <w:rsid w:val="00C446E2"/>
    <w:rsid w:val="00C57F22"/>
    <w:rsid w:val="00C60DEB"/>
    <w:rsid w:val="00C73000"/>
    <w:rsid w:val="00C76FDD"/>
    <w:rsid w:val="00C86587"/>
    <w:rsid w:val="00C86D1E"/>
    <w:rsid w:val="00C87FAC"/>
    <w:rsid w:val="00CA2046"/>
    <w:rsid w:val="00CA5664"/>
    <w:rsid w:val="00CB2143"/>
    <w:rsid w:val="00CB3968"/>
    <w:rsid w:val="00CB4940"/>
    <w:rsid w:val="00CE1B32"/>
    <w:rsid w:val="00CF47F7"/>
    <w:rsid w:val="00D04479"/>
    <w:rsid w:val="00D24B8D"/>
    <w:rsid w:val="00D25BDD"/>
    <w:rsid w:val="00D30191"/>
    <w:rsid w:val="00D51C2D"/>
    <w:rsid w:val="00D5369F"/>
    <w:rsid w:val="00D6687E"/>
    <w:rsid w:val="00D7412E"/>
    <w:rsid w:val="00DA16BD"/>
    <w:rsid w:val="00DA4C20"/>
    <w:rsid w:val="00DD4552"/>
    <w:rsid w:val="00DD7AB2"/>
    <w:rsid w:val="00DF1B26"/>
    <w:rsid w:val="00DF656B"/>
    <w:rsid w:val="00E03606"/>
    <w:rsid w:val="00E043FF"/>
    <w:rsid w:val="00E05565"/>
    <w:rsid w:val="00E1507C"/>
    <w:rsid w:val="00E24BFC"/>
    <w:rsid w:val="00E30247"/>
    <w:rsid w:val="00E537A1"/>
    <w:rsid w:val="00E56F02"/>
    <w:rsid w:val="00E63EB7"/>
    <w:rsid w:val="00E72273"/>
    <w:rsid w:val="00E739F1"/>
    <w:rsid w:val="00E74BCC"/>
    <w:rsid w:val="00E84CEB"/>
    <w:rsid w:val="00E91809"/>
    <w:rsid w:val="00E93A46"/>
    <w:rsid w:val="00EA2F25"/>
    <w:rsid w:val="00EA40E6"/>
    <w:rsid w:val="00EA7FB5"/>
    <w:rsid w:val="00EB3694"/>
    <w:rsid w:val="00EB6DEA"/>
    <w:rsid w:val="00EC4EDD"/>
    <w:rsid w:val="00EC7691"/>
    <w:rsid w:val="00ED2579"/>
    <w:rsid w:val="00ED58A7"/>
    <w:rsid w:val="00EF0FBE"/>
    <w:rsid w:val="00EF3371"/>
    <w:rsid w:val="00F03EED"/>
    <w:rsid w:val="00F3024E"/>
    <w:rsid w:val="00F36616"/>
    <w:rsid w:val="00F429FD"/>
    <w:rsid w:val="00F74E1A"/>
    <w:rsid w:val="00F81EBD"/>
    <w:rsid w:val="00F8579B"/>
    <w:rsid w:val="00F9735E"/>
    <w:rsid w:val="00FA20A8"/>
    <w:rsid w:val="00FA235B"/>
    <w:rsid w:val="00FA4784"/>
    <w:rsid w:val="00FD53D1"/>
    <w:rsid w:val="00FD6811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7F9A"/>
  <w15:docId w15:val="{35D0E4F7-6B1E-40EF-A21E-5ED78B54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EA441-3380-403B-B082-805D6B18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Russellville Independent Schools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Coursey, Mark</dc:creator>
  <cp:lastModifiedBy>Epley, Macy</cp:lastModifiedBy>
  <cp:revision>4</cp:revision>
  <cp:lastPrinted>2025-09-12T18:21:00Z</cp:lastPrinted>
  <dcterms:created xsi:type="dcterms:W3CDTF">2025-09-10T15:42:00Z</dcterms:created>
  <dcterms:modified xsi:type="dcterms:W3CDTF">2025-09-15T15:54:00Z</dcterms:modified>
</cp:coreProperties>
</file>