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9/11/2025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 Community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1N5 - </w:t>
      </w:r>
      <w:r w:rsidDel="00000000" w:rsidR="00000000" w:rsidRPr="00000000">
        <w:rPr>
          <w:rFonts w:ascii="Calibri" w:cs="Calibri" w:eastAsia="Calibri" w:hAnsi="Calibri"/>
          <w:rtl w:val="0"/>
        </w:rPr>
        <w:t xml:space="preserve">501(c)(3) non-profit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Non-binding Memorandum of Understanding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June 3, 2025 - June 2, 2026</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Board Policy 10.3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Relationships with Community Organizations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Strategic Plan Connection: Goal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Stakeholder Engagement, Objective 3B (1) Foster relationships with business and community partners, engage in community outreach, and develop alumni connections to strengthen stakeholder engagement.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1N5 is a 501(c)(3) non-profit supporting mental health awareness and education in our community.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Trainings may include staff wellness programs (Recharge + Reconnect, Unlocking the Power of Play, Mindfulness Coaching for Educators) and customized trainings catering to school’s unique needs, addressing such topics as brain health, stress, trauma, and resilience, as well as Introduction to Trauma-Informed Education.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Varies based on service provided per </w:t>
      </w:r>
      <w:r w:rsidDel="00000000" w:rsidR="00000000" w:rsidRPr="00000000">
        <w:rPr>
          <w:rFonts w:ascii="Calibri" w:cs="Calibri" w:eastAsia="Calibri" w:hAnsi="Calibri"/>
          <w:i w:val="1"/>
          <w:rtl w:val="0"/>
        </w:rPr>
        <w:t xml:space="preserve">Exhibit A,</w:t>
      </w:r>
      <w:r w:rsidDel="00000000" w:rsidR="00000000" w:rsidRPr="00000000">
        <w:rPr>
          <w:rFonts w:ascii="Calibri" w:cs="Calibri" w:eastAsia="Calibri" w:hAnsi="Calibri"/>
          <w:rtl w:val="0"/>
        </w:rPr>
        <w:t xml:space="preserve"> with costs payable by Individual.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808080"/>
          <w:sz w:val="22"/>
          <w:szCs w:val="22"/>
          <w:rtl w:val="0"/>
        </w:rPr>
        <w:t xml:space="preserve">N/A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non-binding Memorandum of Understanding between Boone County Schools and </w:t>
      </w:r>
      <w:r w:rsidDel="00000000" w:rsidR="00000000" w:rsidRPr="00000000">
        <w:rPr>
          <w:rFonts w:ascii="Calibri" w:cs="Calibri" w:eastAsia="Calibri" w:hAnsi="Calibri"/>
          <w:rtl w:val="0"/>
        </w:rPr>
        <w:t xml:space="preserve">1N5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RaUh2LzjtJk3na6myMYMwfhRg==">CgMxLjA4AHIhMTM5RmpjLVdqckV6ZDJDaVdCVTNRZWhmYkVZbHZYbVBo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2025-08-21T16:45:00Z</dcterms:created>
  <dc:creator>Staff</dc:creator>
</cp:coreProperties>
</file>