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9/11/2025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Student/ Community Services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Ramey Estep Homes, 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nc.,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Regroup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Memorandum of Understanding for School Based Services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August 14, 2025 - June 30, 2026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Policy 10.3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Relationships with Community Organizations;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Strategic Plan Connection: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 3,            Stakeholder Engagement, Objective 3B (1) Foster relationships with business and community partners, engage in community outreach, and develop alumni connections to strengthen stakeholder engagement.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Ramey Estep/Re-Group is a comprehensive outpatient therapy program specializing in substance abuse and behavioral health care. They offer office based, in-home and school-based programs, and provide services in the environment most conducive to client needs. Re-Group believes that every child and their family deserve support and success in reaching their goals. To empower change and success, Re-group strives for excellence in quality, individualized mental health and substance abuse support services to children and families.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the Memorandum of Understanding between Boone County Schools and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Ramey-Estep Homes, Inc.,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presented.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Kathleen G. Reutman, Executive Director, Student/Community Services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tUOv8BtW2SdYgVe4Q9Y1pP89gQ==">CgMxLjA4AHIhMWUyVkY2Wkl0MDZfRGd1cFpwbS1YSHU1c0tFTXlVZGNp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2025-08-21T14:45:00Z</dcterms:created>
  <dc:creator>Staff</dc:creator>
</cp:coreProperties>
</file>