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9/11/2025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Student/Community Services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Northern Kentucky Independent Health Department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Memorandum of Agreement for School Based Services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July 1, 2025 - June 30, 2026</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Board Policy 10.3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Relationships with Community Organizations;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Strategic Plan Connection: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Goal 3,         Stakeholder Engagement, Objective 3B (1) Foster relationships with business and community partners, engage in community outreach, and develop alumni connections to strengthen stakeholder engagement.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808080"/>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Promote mental health through a comprehensive approach that spans from postvention to prevention, with a focus on addressing disparities and advancing health justice. This initiative establishes clear procedures and protocols to strengthen mental health services, enhance crisis response, and embed wellness standards within schools. By prioritizing the adoption of standardized, evidence-based support systems and curricula across the district, the effort ensures that students, families, and educators are equipped with the tools they need to effectively manage mental health challenges and foster long-term well-being.</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the board approve this Memorandum of Agreement between Boone County Schools and </w:t>
      </w:r>
      <w:r w:rsidDel="00000000" w:rsidR="00000000" w:rsidRPr="00000000">
        <w:rPr>
          <w:rFonts w:ascii="Calibri" w:cs="Calibri" w:eastAsia="Calibri" w:hAnsi="Calibri"/>
          <w:rtl w:val="0"/>
        </w:rPr>
        <w:t xml:space="preserve">Northern Kentucky Independent Health Department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 presented.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James Detwiler, Deputy Superintendent / CAO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Kathleen G. Reutman, Executive Director Student/Community Services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55"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Al1w5Lw5EnJ3mJo+XDkeKmr0Qw==">CgMxLjA4AHIhMWhiWWRnaGU2dkY3Q1ZUSDQtUDVkM2ZUTmp1Z1JSLUxU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2025-08-23T15:35:00Z</dcterms:created>
  <dc:creator>Staff</dc:creator>
</cp:coreProperties>
</file>