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9/11/2025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MEBS Counseling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 Based Services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2025 - June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Connections Goal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Stakeholder Engagement, Objective 3B (1) Foster relationships with business and community partners, engage in community outreach, and develop alumni connections to strengthen stakeholder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MEBS (Meaningful Emotional Behavior Services) Counseling began providing behavioral health services more than twenty years ago, providing children and their families with evidence-based, behavioral health and substance abuse wrap-around services in the Northern KY area. They continue to offer these intensive services, on-site, along with others including outpatient psychotherapy (individual and family), developmental and intellectual testing, and behavior interventions. We have partnered with MEBS for several years.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Memorandum of Understanding between Boone County Schools and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MEBS Counseling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presented.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 of Student / 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sHtoCy7VsGaZGInoBR49NNyRg==">CgMxLjA4AHIhMVdRRHlOZWxOZnNMWXFWdlltblZVcWRWZ3JyMndyM3Z3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2025-08-23T15:11:00Z</dcterms:created>
  <dc:creator>Staff</dc:creator>
</cp:coreProperties>
</file>