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9/11/2025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 Community Services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Hope Behavioral Health, LLC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Understanding for School Based Services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8/21/2025 – 6/30/2026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Board Policy 10.3 Relationships with Community Organizations; Strategic Plan Connection: Goal 3, Stakeholder Engagement, Objective 3B (1) Foster relationships with business and community partners, engage in community outreach, and develop alumni connections to strengthen stakeholder engagement.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Hope Behavioral Health provides mental health counseling for individuals or groups and/ mental health case management services to students referred by the Boone County Schools. The school-based therapy services allow children to receive therapy sessions as part of their school day. With parental consent, these services may also allow the child's teachers and guidance counselors to collaborate with the therapist to support the child's progress at school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the Memorandum of Understan</w:t>
      </w:r>
      <w:r w:rsidDel="00000000" w:rsidR="00000000" w:rsidRPr="00000000">
        <w:rPr>
          <w:rFonts w:ascii="Calibri" w:cs="Calibri" w:eastAsia="Calibri" w:hAnsi="Calibri"/>
          <w:rtl w:val="0"/>
        </w:rPr>
        <w:t xml:space="preserve">ding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between Boone County Schools and Hope Behavioral Health, LLC, as presented.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 / 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54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3926888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392688863"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39268886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0MgWeCKRC+bA5oDZEhGoKycXA==">CgMxLjA4AHIhMVd2bmxsekM1emFKYUF5blY3VG1pYmZyLTU1M2xnZHho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2025-08-22T19:49:00Z</dcterms:created>
  <dc:creator>Staff</dc:creator>
</cp:coreProperties>
</file>