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9/11/2025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 Community Services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Care Counseling Solutions, LLC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for School Based Services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30, 2025 - June 30,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3,          Stakeholder Engagement, Objective 3B (1) Foster relationships with business and community partners, engage in community outreach, and develop alumni connections to strengthen stakeholder engagement.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 Care Counseling Solutions, LLC will provide mental health assessments upon request by the school counselor or a student’s family. In addition, they will offer individual and group counseling services, as well as consultation with teachers, school counselors, and other school personnel.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Memorandum of Understanding between Boone County Schools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Family Care Counseling Services, LLC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oPnsj2ImLQRypgm2OvOl+N6Vw==">CgMxLjA4AHIhMTlTa1UxYUw3SGxLZ0w4ZW50b3gzbWtGajMxQ09oMzQt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2025-08-21T15:22:00Z</dcterms:created>
  <dc:creator>Staff</dc:creator>
</cp:coreProperties>
</file>