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Goodridge Elementary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Reading League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Professional Development /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raining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9/1/2025 – 6/30/2025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Goal 1: World Class Education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Teacher training for reading support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the science of reading.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40,000.00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recommend the board approved the contract between Goodridge Elementary School and The Reading League for Professional Development, as presented.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Jen Patrick, Goodridge ELementary School Principal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OpFPLx1eaL9GSEbCZjgg83xSA==">CgMxLjA4AHIhMVdBZkowX2YydUFfOGV6a01uYWpmWkJWbGY1SGJuQWxB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2025-07-29T20:00:00Z</dcterms:created>
  <dc:creator>Staff</dc:creator>
</cp:coreProperties>
</file>