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Bourbon County Board of Education</w:t>
            </w:r>
            <w:r>
              <w:rPr>
                <w:rFonts w:eastAsia="Times New Roman"/>
              </w:rPr>
              <w:br/>
              <w:t>July 17, 2025 6:00 PM</w:t>
            </w:r>
            <w:r>
              <w:rPr>
                <w:rFonts w:eastAsia="Times New Roman"/>
              </w:rPr>
              <w:br/>
              <w:t xml:space="preserve">Bourbon County Schools Central Office </w:t>
            </w:r>
          </w:p>
        </w:tc>
      </w:tr>
    </w:tbl>
    <w:p w:rsidR="00000000" w:rsidRDefault="002D4D87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 : 6:00 PM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Shane Buckler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 Ott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Bradley Purcell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Amanda Thornberry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Miranda Wyles</w:t>
            </w:r>
          </w:p>
        </w:tc>
      </w:tr>
    </w:tbl>
    <w:p w:rsidR="00000000" w:rsidRDefault="002D4D87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Order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Roll Call and Recognition of Guests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Devotional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Adoption of the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#1 - Motion Passed:</w:t>
            </w:r>
            <w:r>
              <w:rPr>
                <w:rFonts w:eastAsia="Times New Roman"/>
              </w:rPr>
              <w:t xml:space="preserve"> passed with a motion by Mrs. Miranda Wyles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Achievement and Recognition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Student and Staff Recognition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Communications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Public Comment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District Reports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Signing of Open Records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Update on Federal Progams and Assessments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Personnel Retirement, Resignations, Employment, and Transfers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pStyle w:val="NormalWeb"/>
            </w:pPr>
            <w:r>
              <w:rPr>
                <w:rStyle w:val="Strong"/>
              </w:rPr>
              <w:t>Retirement, Resignations and Transfers</w:t>
            </w:r>
            <w:r>
              <w:br/>
            </w:r>
            <w:r>
              <w:rPr>
                <w:vertAlign w:val="subscript"/>
              </w:rPr>
              <w:t>Karol Morris-resignation</w:t>
            </w:r>
            <w:r>
              <w:rPr>
                <w:vertAlign w:val="subscript"/>
              </w:rPr>
              <w:br/>
              <w:t>Brian Parker-resignation (golf)</w:t>
            </w:r>
            <w:r>
              <w:rPr>
                <w:vertAlign w:val="subscript"/>
              </w:rPr>
              <w:br/>
              <w:t>Eula Willoughby-resignation</w:t>
            </w:r>
            <w:r>
              <w:rPr>
                <w:vertAlign w:val="subscript"/>
              </w:rPr>
              <w:br/>
              <w:t>Rebecca Doan-resignation</w:t>
            </w:r>
            <w:r>
              <w:rPr>
                <w:vertAlign w:val="subscript"/>
              </w:rPr>
              <w:br/>
              <w:t>Raegan Fryman-resignation (girls soccer)</w:t>
            </w:r>
            <w:r>
              <w:rPr>
                <w:vertAlign w:val="subscript"/>
              </w:rPr>
              <w:br/>
              <w:t>Haley Kitchen-resignation</w:t>
            </w:r>
          </w:p>
          <w:p w:rsidR="00000000" w:rsidRDefault="002D4D87">
            <w:pPr>
              <w:pStyle w:val="NormalWeb"/>
            </w:pPr>
            <w:r>
              <w:rPr>
                <w:vertAlign w:val="subscript"/>
              </w:rPr>
              <w:br/>
            </w:r>
            <w:r>
              <w:rPr>
                <w:rStyle w:val="Strong"/>
                <w:vertAlign w:val="subscript"/>
              </w:rPr>
              <w:t>Certified Employment</w:t>
            </w:r>
            <w:r>
              <w:rPr>
                <w:vertAlign w:val="subscript"/>
              </w:rPr>
              <w:br/>
              <w:t>Shandi Strausbaugh</w:t>
            </w:r>
            <w:r>
              <w:rPr>
                <w:vertAlign w:val="subscript"/>
              </w:rPr>
              <w:br/>
              <w:t>Hannah Tipton</w:t>
            </w:r>
            <w:r>
              <w:rPr>
                <w:vertAlign w:val="subscript"/>
              </w:rPr>
              <w:br/>
              <w:t>Jo Hoover</w:t>
            </w:r>
            <w:r>
              <w:rPr>
                <w:vertAlign w:val="subscript"/>
              </w:rPr>
              <w:br/>
              <w:t>Hannah Southall</w:t>
            </w:r>
            <w:r>
              <w:rPr>
                <w:vertAlign w:val="subscript"/>
              </w:rPr>
              <w:br/>
              <w:t>Madyson Walters</w:t>
            </w:r>
            <w:r>
              <w:rPr>
                <w:vertAlign w:val="subscript"/>
              </w:rPr>
              <w:br/>
              <w:t>Regina McCarty</w:t>
            </w:r>
            <w:r>
              <w:rPr>
                <w:vertAlign w:val="subscript"/>
              </w:rPr>
              <w:br/>
              <w:t>Branson Wren</w:t>
            </w:r>
            <w:r>
              <w:rPr>
                <w:vertAlign w:val="subscript"/>
              </w:rPr>
              <w:br/>
              <w:t>Tonisha James</w:t>
            </w:r>
            <w:r>
              <w:rPr>
                <w:vertAlign w:val="subscript"/>
              </w:rPr>
              <w:br/>
              <w:t>Olivia Langfels</w:t>
            </w:r>
            <w:r>
              <w:rPr>
                <w:vertAlign w:val="subscript"/>
              </w:rPr>
              <w:br/>
            </w:r>
            <w:r>
              <w:rPr>
                <w:vertAlign w:val="subscript"/>
              </w:rPr>
              <w:lastRenderedPageBreak/>
              <w:t>Tonya Watson</w:t>
            </w:r>
            <w:r>
              <w:rPr>
                <w:vertAlign w:val="subscript"/>
              </w:rPr>
              <w:br/>
              <w:t>Adam Lawson</w:t>
            </w:r>
            <w:r>
              <w:rPr>
                <w:vertAlign w:val="subscript"/>
              </w:rPr>
              <w:br/>
              <w:t>Amy Brown</w:t>
            </w:r>
          </w:p>
          <w:p w:rsidR="00000000" w:rsidRDefault="002D4D87">
            <w:pPr>
              <w:pStyle w:val="NormalWeb"/>
            </w:pPr>
            <w:r>
              <w:rPr>
                <w:rStyle w:val="Strong"/>
                <w:vertAlign w:val="subscript"/>
              </w:rPr>
              <w:t>Classified Employment</w:t>
            </w:r>
            <w:r>
              <w:rPr>
                <w:vertAlign w:val="subscript"/>
              </w:rPr>
              <w:br/>
              <w:t>Amber Majilang</w:t>
            </w:r>
            <w:r>
              <w:rPr>
                <w:vertAlign w:val="subscript"/>
              </w:rPr>
              <w:br/>
              <w:t>Paulette Hadden</w:t>
            </w:r>
            <w:r>
              <w:rPr>
                <w:vertAlign w:val="subscript"/>
              </w:rPr>
              <w:br/>
              <w:t>Terrance Brooks</w:t>
            </w:r>
            <w:r>
              <w:rPr>
                <w:vertAlign w:val="subscript"/>
              </w:rPr>
              <w:br/>
              <w:t>Sarah Golden</w:t>
            </w:r>
          </w:p>
          <w:p w:rsidR="00000000" w:rsidRDefault="002D4D87">
            <w:pPr>
              <w:pStyle w:val="NormalWeb"/>
            </w:pPr>
            <w:r>
              <w:rPr>
                <w:vertAlign w:val="subscript"/>
              </w:rPr>
              <w:t> </w:t>
            </w:r>
            <w:r>
              <w:rPr>
                <w:i/>
                <w:iCs/>
              </w:rPr>
              <w:br/>
            </w:r>
            <w:r>
              <w:br/>
            </w:r>
            <w:r>
              <w:rPr>
                <w:rStyle w:val="Strong"/>
              </w:rPr>
              <w:t> </w:t>
            </w:r>
          </w:p>
          <w:p w:rsidR="00000000" w:rsidRDefault="002D4D87">
            <w:pPr>
              <w:pStyle w:val="NormalWeb"/>
            </w:pPr>
            <w:r>
              <w:rPr>
                <w:rStyle w:val="Strong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III.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Operations Action Items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#2 - Motion Passed:</w:t>
            </w:r>
            <w:r>
              <w:rPr>
                <w:rFonts w:eastAsia="Times New Roman"/>
              </w:rPr>
              <w:t xml:space="preserve"> Approval of the following combined consent agenda items passed with a motion by Amanda Thornberry and a second by Mrs. Miranda Wyles.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 xml:space="preserve"> BCES PTO Fundraiser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T-Shirt Fundraiser for BCES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Updated Certified Evaluation Plan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Update Certified Evaluation Plan to change evaluation cycles for certified teachers who qualify from 3 years to 5.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Claims and Transfers for Warrant A and 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claims and tr</w:t>
            </w:r>
            <w:r>
              <w:rPr>
                <w:rFonts w:eastAsia="Times New Roman"/>
              </w:rPr>
              <w:t>ansfers beginning with Accounts Payable Warrant #071725A for $467,460.59 Accounts Payable Warrant #071725B for $228,688.00 and the employee deduction register in the amount of $3,627,813.08 employee amount and $1,257,031.62 employer amount. The warrants an</w:t>
            </w:r>
            <w:r>
              <w:rPr>
                <w:rFonts w:eastAsia="Times New Roman"/>
              </w:rPr>
              <w:t>d deduction register are to be incorporated into the minutes by this reference and files for easy access in the vicinity of the minutes.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the Monthly Financial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Beginning bank balance $9,095,034.17, received $2,151,764.78, and disburse</w:t>
            </w:r>
            <w:r>
              <w:rPr>
                <w:rFonts w:eastAsia="Times New Roman"/>
              </w:rPr>
              <w:t>d $3,629,993.27 leaving a bank balance of $7,616,805.68 in Total Funds. Outstanding checks of $1,161,712.25 deposit in transit $402.22, and reconciled bank balance $6,455,495.65.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Preschool Head Start Budget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Preschool/Head Start In-Kind Repor</w:t>
            </w:r>
            <w:r>
              <w:rPr>
                <w:rFonts w:eastAsia="Times New Roman"/>
              </w:rPr>
              <w:t>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Kentucky Association of School Human Resource Managers Organization Membership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User Agreement with K12 Solutions for 504 and MTSS modules within Infinite Campus.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FMLA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FMLA for Hannah Roe beginning 7/19/2025-8/30/2025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Updated Policy 03.1232 2nd Reading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#3 - Motion Passed:</w:t>
            </w:r>
            <w:r>
              <w:rPr>
                <w:rFonts w:eastAsia="Times New Roman"/>
              </w:rPr>
              <w:t xml:space="preserve"> The Board is being asked to update policy 03.1232, 2nd reading. passed with a motion by Bradley Purcell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</w:p>
          <w:p w:rsidR="00000000" w:rsidRDefault="002D4D87">
            <w:pPr>
              <w:divId w:val="173770712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</w:p>
          <w:p w:rsidR="00000000" w:rsidRDefault="002D4D87">
            <w:pPr>
              <w:divId w:val="190043314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Updated Policy 03.222 2nd Reading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#4 - Motion Passed:</w:t>
            </w:r>
            <w:r>
              <w:rPr>
                <w:rFonts w:eastAsia="Times New Roman"/>
              </w:rPr>
              <w:t xml:space="preserve"> The Board is being asked to approve the updated policy 03.222, 2nd reading for 260-day classified employees. passed with a motion by Amanda Thornberry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</w:t>
            </w:r>
            <w:r>
              <w:rPr>
                <w:rFonts w:eastAsia="Times New Roman"/>
                <w:b/>
                <w:bCs/>
              </w:rPr>
              <w:t xml:space="preserve">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</w:p>
          <w:p w:rsidR="00000000" w:rsidRDefault="002D4D87">
            <w:pPr>
              <w:divId w:val="42288539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</w:p>
          <w:p w:rsidR="00000000" w:rsidRDefault="002D4D87">
            <w:pPr>
              <w:divId w:val="1782339328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 xml:space="preserve"> Board Approved Methods of Communication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The Board is being asked to approve communication between faculty and students using Bourbon County Schools' G-Suite, Blackboard (Anthology), Outlook (kctcs.edu domain) and Starfish (EAB). passed with a motion by Bradley Purcell and a second by Shane Buckl</w:t>
            </w:r>
            <w:r>
              <w:rPr>
                <w:rFonts w:eastAsia="Times New Roman"/>
              </w:rPr>
              <w:t xml:space="preserve">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is being asked to approve communication between faculty and students using Bourbon County Schools' G-Suite with includes multiple google products used in the school district. We are also asking to approve Blackboard (Anthology), Outlook (kctcs.ed</w:t>
            </w:r>
            <w:r>
              <w:rPr>
                <w:rFonts w:eastAsia="Times New Roman"/>
              </w:rPr>
              <w:t>u domain) and Starfish (EAB) to be used with dual credit students taking courses through KCTCS.</w:t>
            </w:r>
            <w:r>
              <w:rPr>
                <w:rFonts w:eastAsia="Times New Roman"/>
              </w:rPr>
              <w:t> </w:t>
            </w:r>
          </w:p>
          <w:p w:rsidR="00000000" w:rsidRDefault="002D4D87">
            <w:pPr>
              <w:divId w:val="944776747"/>
              <w:rPr>
                <w:rFonts w:eastAsia="Times New Roman"/>
              </w:rPr>
            </w:pPr>
            <w:r>
              <w:rPr>
                <w:rFonts w:eastAsia="Times New Roman"/>
              </w:rPr>
              <w:t>Blackboard (Anthology)</w:t>
            </w:r>
          </w:p>
          <w:p w:rsidR="00000000" w:rsidRDefault="002D4D87">
            <w:pPr>
              <w:divId w:val="1755662875"/>
              <w:rPr>
                <w:rFonts w:eastAsia="Times New Roman"/>
              </w:rPr>
            </w:pPr>
            <w:r>
              <w:rPr>
                <w:rFonts w:eastAsia="Times New Roman"/>
              </w:rPr>
              <w:t>· Blackboard (Anthology)</w:t>
            </w:r>
          </w:p>
          <w:p w:rsidR="00000000" w:rsidRDefault="002D4D87">
            <w:pPr>
              <w:divId w:val="8816645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· Outlook </w:t>
            </w:r>
            <w:r>
              <w:rPr>
                <w:rFonts w:eastAsia="Times New Roman"/>
              </w:rPr>
              <w:t>(</w:t>
            </w:r>
            <w:hyperlink r:id="rId4" w:tgtFrame="_blank" w:history="1">
              <w:r>
                <w:rPr>
                  <w:rStyle w:val="Hyperlink"/>
                  <w:rFonts w:eastAsia="Times New Roman"/>
                </w:rPr>
                <w:t>kctcs.edu</w:t>
              </w:r>
            </w:hyperlink>
            <w:r>
              <w:rPr>
                <w:rFonts w:eastAsia="Times New Roman"/>
              </w:rPr>
              <w:t> domain)</w:t>
            </w:r>
          </w:p>
          <w:p w:rsidR="00000000" w:rsidRDefault="002D4D87">
            <w:pPr>
              <w:divId w:val="481508903"/>
              <w:rPr>
                <w:rFonts w:eastAsia="Times New Roman"/>
              </w:rPr>
            </w:pPr>
            <w:r>
              <w:rPr>
                <w:rFonts w:eastAsia="Times New Roman"/>
              </w:rPr>
              <w:t>· Starfish (EAB)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Updated Extra S</w:t>
            </w:r>
            <w:r>
              <w:rPr>
                <w:rFonts w:eastAsia="Times New Roman"/>
              </w:rPr>
              <w:t>ervice Salary Schedule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#6 - Motion Passed:</w:t>
            </w:r>
            <w:r>
              <w:rPr>
                <w:rFonts w:eastAsia="Times New Roman"/>
              </w:rPr>
              <w:t xml:space="preserve"> The Board is be asked to approve changing the stipend for National Board Certified (6702) to $10,000. passed with a motion by Shane Buckler and a second by Bradley Purcell.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pStyle w:val="NormalWeb"/>
            </w:pPr>
            <w:r>
              <w:t xml:space="preserve">We are </w:t>
            </w:r>
            <w:r>
              <w:t>recommending increasing the stipend for National Board Certified employees to $10,000.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Pay Application for Bourbon County Head Start Mobile Classroom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#7 - Motion Passed:</w:t>
            </w:r>
            <w:r>
              <w:rPr>
                <w:rFonts w:eastAsia="Times New Roman"/>
              </w:rPr>
              <w:t xml:space="preserve"> The Board is being asked to approve the pay application for the Bourbon Co</w:t>
            </w:r>
            <w:r>
              <w:rPr>
                <w:rFonts w:eastAsia="Times New Roman"/>
              </w:rPr>
              <w:t xml:space="preserve">unty Head Start Mobile Classroom in the amount of $660.00 passed with a motion by Bradley Purcell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New Horizons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#8 -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The board is being asked to approve the Memorandum of Understanding between New Horizons Academy and the Bourbon County Board of Education for the 2025-2026 school year. passed with a motion by Mrs. Miranda Wyles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</w:t>
            </w:r>
            <w:r>
              <w:rPr>
                <w:rFonts w:eastAsia="Times New Roman"/>
                <w:b/>
                <w:bCs/>
              </w:rPr>
              <w:t xml:space="preserve">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Memorandum of Understanding between New Horizons Academy/KEDC and Bourbon County Schools for the 2025-2026 school year is attached.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</w:t>
            </w:r>
            <w:r>
              <w:rPr>
                <w:rFonts w:eastAsia="Times New Roman"/>
              </w:rPr>
              <w:t> Land Use Agreement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Order #9 - Motion Passed:</w:t>
            </w:r>
            <w:r>
              <w:rPr>
                <w:rFonts w:eastAsia="Times New Roman"/>
              </w:rPr>
              <w:t xml:space="preserve"> The Board is being asked to approve the agreement between B</w:t>
            </w:r>
            <w:r>
              <w:rPr>
                <w:rFonts w:eastAsia="Times New Roman"/>
              </w:rPr>
              <w:t xml:space="preserve">ourbon County School and the Bourbon County Fiscal Court for use of the land at Millersburg Road Property (Park). passed with a motion by Bradley Purcell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This is an agreement proposed by the Bourbon C</w:t>
            </w:r>
            <w:r>
              <w:rPr>
                <w:rFonts w:eastAsia="Times New Roman"/>
              </w:rPr>
              <w:t>ounty Fiscal Court for Bourbon County Schools to use the Millersburg Road Property.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</w:t>
            </w:r>
            <w:r>
              <w:rPr>
                <w:rFonts w:eastAsia="Times New Roman"/>
              </w:rPr>
              <w:t> Master Services Agreement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#10 - Motion Passed:</w:t>
            </w:r>
            <w:r>
              <w:rPr>
                <w:rFonts w:eastAsia="Times New Roman"/>
              </w:rPr>
              <w:t xml:space="preserve"> The Board is being asked to approve the agreement </w:t>
            </w:r>
            <w:r>
              <w:rPr>
                <w:rFonts w:eastAsia="Times New Roman"/>
              </w:rPr>
              <w:t xml:space="preserve">between Datum Insights LLC, an Idaho Limited Liability Company ("Provider"), and Bourbon County Schools passed with a motion by Bradley Purcell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This is an agreement  </w:t>
            </w:r>
            <w:r>
              <w:rPr>
                <w:rFonts w:eastAsia="Times New Roman"/>
              </w:rPr>
              <w:t>between Datum Insights LLC, an Idaho Limited Liability Company ("Provider"), and Bourbon County Schools for services of transferring employee data between Munis and PowerSchool. 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9.</w:t>
            </w:r>
            <w:r>
              <w:rPr>
                <w:rFonts w:eastAsia="Times New Roman"/>
              </w:rPr>
              <w:t> Adult Education MOU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#11 - Motion Passed:</w:t>
            </w:r>
            <w:r>
              <w:rPr>
                <w:rFonts w:eastAsia="Times New Roman"/>
              </w:rPr>
              <w:t xml:space="preserve"> The Board is being aske</w:t>
            </w:r>
            <w:r>
              <w:rPr>
                <w:rFonts w:eastAsia="Times New Roman"/>
              </w:rPr>
              <w:t xml:space="preserve">d to approve the MOU between Thorn Hill Education Center and Bourbon County Schools. passed with a motion by Shane Buckler and a second by Mrs. Miranda Wyles.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is being asked to approve the MOU between Thorn Hill Education</w:t>
            </w:r>
            <w:r>
              <w:rPr>
                <w:rFonts w:eastAsia="Times New Roman"/>
              </w:rPr>
              <w:t xml:space="preserve"> Center and Bourbon County Schools for reimbursement of Adult Education Funding. The funding for this year is around $70,000 which is down from around $100,000.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10.</w:t>
            </w:r>
            <w:r>
              <w:rPr>
                <w:rFonts w:eastAsia="Times New Roman"/>
              </w:rPr>
              <w:t> High School Bookkeeper &amp; Records Officer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#12 - Motion Passed:</w:t>
            </w:r>
            <w:r>
              <w:rPr>
                <w:rFonts w:eastAsia="Times New Roman"/>
              </w:rPr>
              <w:t xml:space="preserve"> The Board is being a</w:t>
            </w:r>
            <w:r>
              <w:rPr>
                <w:rFonts w:eastAsia="Times New Roman"/>
              </w:rPr>
              <w:t xml:space="preserve">sked to approve updating the job description for High School Bookkeeper to High School Bookkeeper &amp; Records Officer. passed with a motion by Shane Buckler and a second by Bradley Purcell.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This position is the result of eliminating </w:t>
            </w:r>
            <w:r>
              <w:rPr>
                <w:rFonts w:eastAsia="Times New Roman"/>
              </w:rPr>
              <w:t>the High School Secretary position and reassigning the duties to other positions in the building.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11.</w:t>
            </w:r>
            <w:r>
              <w:rPr>
                <w:rFonts w:eastAsia="Times New Roman"/>
              </w:rPr>
              <w:t> High School Bilingual Secretary &amp; Academic Records Coordinator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#13 - Motion Passed:</w:t>
            </w:r>
            <w:r>
              <w:rPr>
                <w:rFonts w:eastAsia="Times New Roman"/>
              </w:rPr>
              <w:t xml:space="preserve"> The Board is being asked to approve updating the job descrip</w:t>
            </w:r>
            <w:r>
              <w:rPr>
                <w:rFonts w:eastAsia="Times New Roman"/>
              </w:rPr>
              <w:t xml:space="preserve">tion for the High School Bilingual Secretary to High School Bilingual Secretary &amp; Academic Records Coordinator passed with a motion by Shane Buckler and a second by Bradley Purcell.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This position is the result of eliminating the High School Secretary position and reassigning the duties to other positions in the building.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12.</w:t>
            </w:r>
            <w:r>
              <w:rPr>
                <w:rFonts w:eastAsia="Times New Roman"/>
              </w:rPr>
              <w:t> MOA Between DirectCare Family Health, PLLC and Bourbon County Schools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#14 - Motion Passed:</w:t>
            </w:r>
            <w:r>
              <w:rPr>
                <w:rFonts w:eastAsia="Times New Roman"/>
              </w:rPr>
              <w:t xml:space="preserve"> The Board </w:t>
            </w:r>
            <w:r>
              <w:rPr>
                <w:rFonts w:eastAsia="Times New Roman"/>
              </w:rPr>
              <w:t>is being asked to approve the MOA between DirectCare Family Health, PLLC, and the Bourbon County Board of Education. Employee physical, including TB screen- $60 per employee TB skin test and reading (1 step)-$20 TB skin test and reading (2-step) $35 passed</w:t>
            </w:r>
            <w:r>
              <w:rPr>
                <w:rFonts w:eastAsia="Times New Roman"/>
              </w:rPr>
              <w:t xml:space="preserve"> with a motion by Mrs. Miranda Wyles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13.</w:t>
            </w:r>
            <w:r>
              <w:rPr>
                <w:rFonts w:eastAsia="Times New Roman"/>
              </w:rPr>
              <w:t> BCS Virtual Learning Academy Policy/Procedure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#15 - Motion Passed:</w:t>
            </w:r>
            <w:r>
              <w:rPr>
                <w:rFonts w:eastAsia="Times New Roman"/>
              </w:rPr>
              <w:t xml:space="preserve"> The Board is being asked to approve the policy/procedures for the BCS Virtual Learn</w:t>
            </w:r>
            <w:r>
              <w:rPr>
                <w:rFonts w:eastAsia="Times New Roman"/>
              </w:rPr>
              <w:t xml:space="preserve">ing Academy. passed with a motion by Mrs. Miranda Wyles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is being asked to approve the policy/procedures for the Virtual Learning Academy.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14.</w:t>
            </w:r>
            <w:r>
              <w:rPr>
                <w:rFonts w:eastAsia="Times New Roman"/>
              </w:rPr>
              <w:t> Procedure 08.2324 AP.2 Consent for Outside Tra</w:t>
            </w:r>
            <w:r>
              <w:rPr>
                <w:rFonts w:eastAsia="Times New Roman"/>
              </w:rPr>
              <w:t xml:space="preserve">ceable Communications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#16 - Motion Passed:</w:t>
            </w:r>
            <w:r>
              <w:rPr>
                <w:rFonts w:eastAsia="Times New Roman"/>
              </w:rPr>
              <w:t xml:space="preserve"> The Board is being asked to approve the creation of a digital version of the Procedure 08.2324 AP.2, Consent for Outside Traceable Communications form to use in conjuction with our current version. passed</w:t>
            </w:r>
            <w:r>
              <w:rPr>
                <w:rFonts w:eastAsia="Times New Roman"/>
              </w:rPr>
              <w:t xml:space="preserve"> with a motion by Mrs. Miranda Wyles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 are asking the Board to approve the creation of a digital version of the Procedure 08.2324 AP.2, Consent for Outside Traceable Communications form.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15.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Approval of BGA Policy/Procedures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#17 - Motion Passed:</w:t>
            </w:r>
            <w:r>
              <w:rPr>
                <w:rFonts w:eastAsia="Times New Roman"/>
              </w:rPr>
              <w:t xml:space="preserve"> The board is being asked to approve the policies/procedures for the Bourbon Graduate Academy. passed with a motion by Mrs. Miranda Wyles and a second by Bradley Purcell.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Approval of Bourbon Graduate Academy Procedures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16.</w:t>
            </w:r>
            <w:r>
              <w:rPr>
                <w:rFonts w:eastAsia="Times New Roman"/>
              </w:rPr>
              <w:t xml:space="preserve"> Updated Salary Schedule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#18 - Motion Passed:</w:t>
            </w:r>
            <w:r>
              <w:rPr>
                <w:rFonts w:eastAsia="Times New Roman"/>
              </w:rPr>
              <w:t xml:space="preserve"> The Board is being asked to approve the changes to the salary schedule. passed with a motion by Shane Buckler and a second by Bradley Purcell.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pStyle w:val="NormalWeb"/>
            </w:pPr>
            <w:r>
              <w:t>The board is being asked to approve the following changes to the salary schedule; </w:t>
            </w:r>
          </w:p>
          <w:p w:rsidR="00000000" w:rsidRDefault="002D4D87">
            <w:pPr>
              <w:pStyle w:val="NormalWeb"/>
            </w:pPr>
            <w:r>
              <w:t>Increasing the Childcare Director from $17.41 to $18.41.</w:t>
            </w:r>
          </w:p>
          <w:p w:rsidR="00000000" w:rsidRDefault="002D4D87">
            <w:pPr>
              <w:pStyle w:val="NormalWeb"/>
            </w:pPr>
            <w:r>
              <w:t>Changing </w:t>
            </w:r>
            <w:r>
              <w:t>the the Bilingual High School Attendance Officer to High School Bilingual Secretary and Academic Records Coordinator and increasing the starting hourly rate from $17.86 to $27.38</w:t>
            </w:r>
          </w:p>
          <w:p w:rsidR="00000000" w:rsidRDefault="002D4D87">
            <w:pPr>
              <w:pStyle w:val="NormalWeb"/>
            </w:pPr>
            <w:r>
              <w:t>Changing the High School Bookkeeper to High School Bookkeeper and Records Off</w:t>
            </w:r>
            <w:r>
              <w:t>icer and increasing the starting hourly rate from  $17.29 to $20.46.  </w:t>
            </w:r>
          </w:p>
          <w:p w:rsidR="00000000" w:rsidRDefault="002D4D87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Other Board Business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Adjournment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#19 - Motion Passed:</w:t>
            </w:r>
            <w:r>
              <w:rPr>
                <w:rFonts w:eastAsia="Times New Roman"/>
              </w:rPr>
              <w:t xml:space="preserve"> Approval to adjourn passed with a motion by Bradley Purcell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D4D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</w:t>
            </w:r>
            <w:r>
              <w:rPr>
                <w:rFonts w:eastAsia="Times New Roman"/>
                <w:b/>
                <w:bCs/>
              </w:rPr>
              <w:t>ys</w:t>
            </w:r>
          </w:p>
        </w:tc>
      </w:tr>
    </w:tbl>
    <w:p w:rsidR="002D4D87" w:rsidRDefault="002D4D87">
      <w:pPr>
        <w:spacing w:after="240"/>
        <w:rPr>
          <w:rFonts w:eastAsia="Times New Roman"/>
        </w:rPr>
      </w:pPr>
    </w:p>
    <w:sectPr w:rsidR="002D4D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524C5"/>
    <w:rsid w:val="002D4D87"/>
    <w:rsid w:val="00E5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0CEAD-8C3D-4805-93F7-9C55490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4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885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ctc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Puckett, Dana (Bourbon County)</dc:creator>
  <cp:keywords/>
  <dc:description/>
  <cp:lastModifiedBy>Puckett, Dana (Bourbon County)</cp:lastModifiedBy>
  <cp:revision>2</cp:revision>
  <dcterms:created xsi:type="dcterms:W3CDTF">2025-08-13T14:15:00Z</dcterms:created>
  <dcterms:modified xsi:type="dcterms:W3CDTF">2025-08-13T14:15:00Z</dcterms:modified>
</cp:coreProperties>
</file>