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8/14/2025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High School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Kentucky Science and Technology Corporation (KSTC)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Agreement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6/20/2025 – 7/31/2028</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1B: Boone County Schools will ensure all students will receive rigorous and engaging instruction via a guaranteed and viable curriculum in every classroom, every day.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agreement allows Boone County High School to partner with Kentucky Science and Technology Corporation (KSTC) to boost college readiness by expanding AP access, improving instruction, incentivizing performance, and tracking student results over several years.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Cost to District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Cost to District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would recommend that the board approve the Memorandum of Agreement between Kentucky Science &amp; Technology Corporation and Boone County High School, as presented. </w:t>
      </w: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James Detwiler, Deputy Superintendent / CAO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Tara Drysdale, Assistant Superintendent of M/HS and Stacey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Black, Principal BCHS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semiHidden w:val="1"/>
    <w:unhideWhenUsed w:val="1"/>
    <w:rsid w:val="00040469"/>
    <w:pPr>
      <w:spacing w:after="100" w:afterAutospacing="1" w:before="100" w:beforeAutospacing="1"/>
    </w:pPr>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3QCc/CHrTLtOReKTa4CA9w8nMw==">CgMxLjA4AHIhMVV4Y3BTVndfMnRqZXdXMFpISl92QzJldTgxSzlocXRN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2025-07-29T15:23:00Z</dcterms:created>
  <dc:creator>Staff</dc:creator>
</cp:coreProperties>
</file>