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July 2025 E-Recycling 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 Laptops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17 Workstations (Tower)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 Workstations (TIO)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 Workstations (AIO)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 LCD TV Display Units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 UPS Units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 iMacs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 LCD Computer Monitors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Networking Equipment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 Printers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Misc Box Electronic Equipment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 Misc AV Devices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 Hard Drives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 Cassette Data Cartridges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