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7/10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Boone County Schools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Gateway Community &amp; Technical College (GCTC)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Dual Credit Agreement; District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ind w:left="27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July 1, 2025 – June 30,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Strategic Plan Connection – Goal 1: World Class Education. “Boone County Schools will ensure all students will receive rigorous and engaging instruction” (1B)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Memorandum of Agreement allows students who attend Boone County Schools to obtain college credit while attending classes offered by Gateway Community &amp; Technical College (GCTC). The high schools host traditional classes from Gateway Community &amp; Technical College (GCTC) on campus and at Gateway Community &amp; Technical College (GCTC). Students are responsible for the cost of dual credit.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recommend the Board approve the Memorandum of Agreement between Boone County Schools and Gateway Community &amp; Technical College (GCTC) for Dual Credit,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as presented.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Dr. James Detwiler, Deputy Superintendent/CAO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Tracy Schaefer, Director of MS/HS Teaching &amp; Learning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qrGt638VIpX99sW59GFfZARukw==">CgMxLjA4AHIhMWQ1bDdSR0IzdGZ0bEU4TnpZQ1lMNGQyLWh1NnFVeUxa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2025-06-17T15:26:00Z</dcterms:created>
  <dc:creator>Staff</dc:creator>
</cp:coreProperties>
</file>