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6A6C" w14:textId="39B490E7" w:rsidR="00D35740" w:rsidRPr="00560F49" w:rsidRDefault="00610A2F" w:rsidP="00D35740">
      <w:pPr>
        <w:jc w:val="right"/>
        <w:rPr>
          <w:b/>
          <w:bCs/>
        </w:rPr>
      </w:pPr>
      <w:r>
        <w:rPr>
          <w:b/>
          <w:bCs/>
        </w:rPr>
        <w:t>CONSENT ITEM F</w:t>
      </w:r>
      <w:r w:rsidR="00D35740" w:rsidRPr="00560F49">
        <w:rPr>
          <w:b/>
          <w:bCs/>
        </w:rPr>
        <w:t xml:space="preserve"> </w:t>
      </w:r>
    </w:p>
    <w:p w14:paraId="49329B7C" w14:textId="63580BC3" w:rsidR="00D35740" w:rsidRPr="00560F49" w:rsidRDefault="00D35740" w:rsidP="00D35740">
      <w:pPr>
        <w:spacing w:after="240"/>
        <w:jc w:val="right"/>
        <w:rPr>
          <w:b/>
          <w:bCs/>
        </w:rPr>
      </w:pPr>
      <w:r w:rsidRPr="00560F49">
        <w:rPr>
          <w:b/>
          <w:bCs/>
        </w:rPr>
        <w:t>Ju</w:t>
      </w:r>
      <w:r w:rsidR="00610A2F">
        <w:rPr>
          <w:b/>
          <w:bCs/>
        </w:rPr>
        <w:t>ly 28</w:t>
      </w:r>
      <w:r>
        <w:rPr>
          <w:b/>
          <w:bCs/>
        </w:rPr>
        <w:t>, 2025</w:t>
      </w:r>
    </w:p>
    <w:p w14:paraId="3583AD67" w14:textId="77777777" w:rsidR="00D35740" w:rsidRPr="00560F49" w:rsidRDefault="00D35740" w:rsidP="00D35740">
      <w:pPr>
        <w:spacing w:after="240"/>
        <w:jc w:val="center"/>
        <w:rPr>
          <w:b/>
          <w:bCs/>
        </w:rPr>
      </w:pPr>
      <w:r w:rsidRPr="00560F49">
        <w:rPr>
          <w:b/>
          <w:bCs/>
        </w:rPr>
        <w:t>OLDHAM COUNTY BOARD OF EDUCATION</w:t>
      </w:r>
    </w:p>
    <w:p w14:paraId="17A01B97" w14:textId="77777777" w:rsidR="00D35740" w:rsidRPr="00BB2616" w:rsidRDefault="00D35740" w:rsidP="00D35740">
      <w:pPr>
        <w:jc w:val="both"/>
        <w:rPr>
          <w:sz w:val="22"/>
          <w:szCs w:val="22"/>
        </w:rPr>
      </w:pPr>
      <w:r w:rsidRPr="00BB2616">
        <w:rPr>
          <w:b/>
          <w:bCs/>
          <w:sz w:val="22"/>
          <w:szCs w:val="22"/>
        </w:rPr>
        <w:t>CONCERN</w:t>
      </w:r>
      <w:r w:rsidRPr="00BB2616">
        <w:rPr>
          <w:sz w:val="22"/>
          <w:szCs w:val="22"/>
        </w:rPr>
        <w:t xml:space="preserve"> </w:t>
      </w:r>
    </w:p>
    <w:p w14:paraId="744F3B28" w14:textId="77777777" w:rsidR="00D35740" w:rsidRPr="00BB2616" w:rsidRDefault="00D35740" w:rsidP="00D35740">
      <w:pPr>
        <w:spacing w:after="120"/>
        <w:jc w:val="both"/>
        <w:rPr>
          <w:sz w:val="22"/>
          <w:szCs w:val="22"/>
        </w:rPr>
      </w:pPr>
      <w:r w:rsidRPr="00BB2616">
        <w:rPr>
          <w:sz w:val="22"/>
          <w:szCs w:val="22"/>
        </w:rPr>
        <w:t xml:space="preserve">Consider renewal of fleet, property, general liability, and workers’ compensation insurance contracts. </w:t>
      </w:r>
    </w:p>
    <w:p w14:paraId="1E9D5C6D" w14:textId="77777777" w:rsidR="00D35740" w:rsidRPr="00BB2616" w:rsidRDefault="00D35740" w:rsidP="00D35740">
      <w:pPr>
        <w:jc w:val="both"/>
        <w:rPr>
          <w:b/>
          <w:bCs/>
          <w:sz w:val="22"/>
          <w:szCs w:val="22"/>
        </w:rPr>
      </w:pPr>
      <w:r w:rsidRPr="00BB2616">
        <w:rPr>
          <w:b/>
          <w:bCs/>
          <w:sz w:val="22"/>
          <w:szCs w:val="22"/>
        </w:rPr>
        <w:t xml:space="preserve">DISCUSSION </w:t>
      </w:r>
    </w:p>
    <w:p w14:paraId="15EF94D9" w14:textId="77777777" w:rsidR="00D35740" w:rsidRPr="00BB2616" w:rsidRDefault="00D35740" w:rsidP="00D35740">
      <w:pPr>
        <w:spacing w:after="240"/>
        <w:rPr>
          <w:sz w:val="22"/>
          <w:szCs w:val="22"/>
        </w:rPr>
      </w:pPr>
      <w:r w:rsidRPr="00BB2616">
        <w:rPr>
          <w:sz w:val="22"/>
          <w:szCs w:val="22"/>
        </w:rPr>
        <w:t>Jay Hall/</w:t>
      </w:r>
      <w:r>
        <w:rPr>
          <w:sz w:val="22"/>
          <w:szCs w:val="22"/>
        </w:rPr>
        <w:t>Public Risk Placement</w:t>
      </w:r>
      <w:r w:rsidRPr="00BB2616">
        <w:rPr>
          <w:sz w:val="22"/>
          <w:szCs w:val="22"/>
        </w:rPr>
        <w:t xml:space="preserve"> has submitted a renewal quote from Liberty Mutual Insurance for fleet, property, general liability, and umbrella coverage, and a quote from KEMI for workers compensation insurance. Liberty Mutual has been the district’s insurer since 1995, and KEMI has provided workers’ compensation coverage for the past </w:t>
      </w:r>
      <w:r>
        <w:rPr>
          <w:sz w:val="22"/>
          <w:szCs w:val="22"/>
        </w:rPr>
        <w:t>10</w:t>
      </w:r>
      <w:r w:rsidRPr="00BB2616">
        <w:rPr>
          <w:sz w:val="22"/>
          <w:szCs w:val="22"/>
        </w:rPr>
        <w:t xml:space="preserve"> years. The market for school district insurance coverage in Kentucky is </w:t>
      </w:r>
      <w:proofErr w:type="gramStart"/>
      <w:r w:rsidRPr="00BB2616">
        <w:rPr>
          <w:sz w:val="22"/>
          <w:szCs w:val="22"/>
        </w:rPr>
        <w:t>fairly small</w:t>
      </w:r>
      <w:proofErr w:type="gramEnd"/>
      <w:r w:rsidRPr="00BB2616">
        <w:rPr>
          <w:sz w:val="22"/>
          <w:szCs w:val="22"/>
        </w:rPr>
        <w:t xml:space="preserve">, with only </w:t>
      </w:r>
      <w:r>
        <w:rPr>
          <w:sz w:val="22"/>
          <w:szCs w:val="22"/>
        </w:rPr>
        <w:t>2</w:t>
      </w:r>
      <w:r w:rsidRPr="00BB2616">
        <w:rPr>
          <w:sz w:val="22"/>
          <w:szCs w:val="22"/>
        </w:rPr>
        <w:t xml:space="preserve"> companies willing to write </w:t>
      </w:r>
      <w:proofErr w:type="gramStart"/>
      <w:r w:rsidRPr="00BB2616">
        <w:rPr>
          <w:sz w:val="22"/>
          <w:szCs w:val="22"/>
        </w:rPr>
        <w:t>the comprehensive</w:t>
      </w:r>
      <w:proofErr w:type="gramEnd"/>
      <w:r w:rsidRPr="00BB2616">
        <w:rPr>
          <w:sz w:val="22"/>
          <w:szCs w:val="22"/>
        </w:rPr>
        <w:t xml:space="preserve"> school policies. </w:t>
      </w:r>
    </w:p>
    <w:p w14:paraId="232DF4BE" w14:textId="1648F904" w:rsidR="00D35740" w:rsidRDefault="00D35740" w:rsidP="00D35740">
      <w:pPr>
        <w:spacing w:after="120"/>
        <w:rPr>
          <w:sz w:val="22"/>
          <w:szCs w:val="22"/>
        </w:rPr>
      </w:pPr>
      <w:r w:rsidRPr="00BB2616">
        <w:rPr>
          <w:sz w:val="22"/>
          <w:szCs w:val="22"/>
        </w:rPr>
        <w:t xml:space="preserve">This year we </w:t>
      </w:r>
      <w:proofErr w:type="gramStart"/>
      <w:r w:rsidRPr="00BB2616">
        <w:rPr>
          <w:sz w:val="22"/>
          <w:szCs w:val="22"/>
        </w:rPr>
        <w:t>are able to</w:t>
      </w:r>
      <w:proofErr w:type="gramEnd"/>
      <w:r w:rsidRPr="00BB2616">
        <w:rPr>
          <w:sz w:val="22"/>
          <w:szCs w:val="22"/>
        </w:rPr>
        <w:t xml:space="preserve"> renew our insurance coverage through Liberty with a slight rate increase in our property, fleet, GL and umbrella premiums, and workers’ compensation premium. Our renewal premiums are as follows: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3415"/>
        <w:gridCol w:w="1530"/>
        <w:gridCol w:w="1530"/>
        <w:gridCol w:w="1530"/>
        <w:gridCol w:w="1620"/>
      </w:tblGrid>
      <w:tr w:rsidR="00D35740" w14:paraId="722C0C5C" w14:textId="77777777" w:rsidTr="00610A2F">
        <w:trPr>
          <w:trHeight w:val="341"/>
        </w:trPr>
        <w:tc>
          <w:tcPr>
            <w:tcW w:w="3415" w:type="dxa"/>
            <w:shd w:val="clear" w:color="auto" w:fill="A5C9EB" w:themeFill="text2" w:themeFillTint="40"/>
          </w:tcPr>
          <w:p w14:paraId="3512E16F" w14:textId="77777777" w:rsidR="00D35740" w:rsidRDefault="00D35740" w:rsidP="009D2D5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5C9EB" w:themeFill="text2" w:themeFillTint="40"/>
          </w:tcPr>
          <w:p w14:paraId="305F32F2" w14:textId="36D21721" w:rsidR="00D35740" w:rsidRPr="00B5784D" w:rsidRDefault="00D35740" w:rsidP="009D2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2022-2023</w:t>
            </w:r>
          </w:p>
        </w:tc>
        <w:tc>
          <w:tcPr>
            <w:tcW w:w="1530" w:type="dxa"/>
            <w:shd w:val="clear" w:color="auto" w:fill="A5C9EB" w:themeFill="text2" w:themeFillTint="40"/>
          </w:tcPr>
          <w:p w14:paraId="4F323CAA" w14:textId="59C7BA14" w:rsidR="00D35740" w:rsidRPr="00B5784D" w:rsidRDefault="00D35740" w:rsidP="009D2D53">
            <w:pPr>
              <w:jc w:val="center"/>
              <w:rPr>
                <w:b/>
                <w:bCs/>
                <w:sz w:val="22"/>
                <w:szCs w:val="22"/>
              </w:rPr>
            </w:pPr>
            <w:r w:rsidRPr="00B5784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3-2024</w:t>
            </w:r>
          </w:p>
        </w:tc>
        <w:tc>
          <w:tcPr>
            <w:tcW w:w="1530" w:type="dxa"/>
            <w:shd w:val="clear" w:color="auto" w:fill="A5C9EB" w:themeFill="text2" w:themeFillTint="40"/>
          </w:tcPr>
          <w:p w14:paraId="554E1BED" w14:textId="46F96C59" w:rsidR="00D35740" w:rsidRPr="00B5784D" w:rsidRDefault="00D35740" w:rsidP="009D2D53">
            <w:pPr>
              <w:jc w:val="center"/>
              <w:rPr>
                <w:b/>
                <w:bCs/>
                <w:sz w:val="22"/>
                <w:szCs w:val="22"/>
              </w:rPr>
            </w:pPr>
            <w:r w:rsidRPr="00B5784D">
              <w:rPr>
                <w:b/>
                <w:bCs/>
                <w:sz w:val="22"/>
                <w:szCs w:val="22"/>
              </w:rPr>
              <w:t>202</w:t>
            </w:r>
            <w:r w:rsidR="007237A6">
              <w:rPr>
                <w:b/>
                <w:bCs/>
                <w:sz w:val="22"/>
                <w:szCs w:val="22"/>
              </w:rPr>
              <w:t>4-2025</w:t>
            </w:r>
          </w:p>
        </w:tc>
        <w:tc>
          <w:tcPr>
            <w:tcW w:w="1620" w:type="dxa"/>
            <w:shd w:val="clear" w:color="auto" w:fill="A5C9EB" w:themeFill="text2" w:themeFillTint="40"/>
          </w:tcPr>
          <w:p w14:paraId="30922898" w14:textId="7A9DFBDE" w:rsidR="00D35740" w:rsidRPr="00B5784D" w:rsidRDefault="00D35740" w:rsidP="009D2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7237A6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-202</w:t>
            </w:r>
            <w:r w:rsidR="007237A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35740" w14:paraId="5EDF96EC" w14:textId="77777777" w:rsidTr="009D2D53">
        <w:trPr>
          <w:trHeight w:val="664"/>
        </w:trPr>
        <w:tc>
          <w:tcPr>
            <w:tcW w:w="3415" w:type="dxa"/>
            <w:vAlign w:val="center"/>
          </w:tcPr>
          <w:p w14:paraId="1EE307A8" w14:textId="77777777" w:rsidR="00D35740" w:rsidRPr="000A51BA" w:rsidRDefault="00D35740" w:rsidP="009D2D53">
            <w:pPr>
              <w:rPr>
                <w:sz w:val="22"/>
                <w:szCs w:val="22"/>
              </w:rPr>
            </w:pPr>
            <w:r w:rsidRPr="000A51BA">
              <w:rPr>
                <w:sz w:val="22"/>
                <w:szCs w:val="22"/>
              </w:rPr>
              <w:t>Workers Compensation Insurance</w:t>
            </w:r>
          </w:p>
        </w:tc>
        <w:tc>
          <w:tcPr>
            <w:tcW w:w="1530" w:type="dxa"/>
            <w:vAlign w:val="center"/>
          </w:tcPr>
          <w:p w14:paraId="06A9709B" w14:textId="7B9CD7E0" w:rsidR="00D35740" w:rsidRPr="000A51BA" w:rsidRDefault="00D35740" w:rsidP="009D2D53">
            <w:pPr>
              <w:jc w:val="center"/>
              <w:rPr>
                <w:sz w:val="22"/>
                <w:szCs w:val="22"/>
                <w:u w:val="single"/>
              </w:rPr>
            </w:pPr>
            <w:r w:rsidRPr="000A51BA">
              <w:rPr>
                <w:sz w:val="22"/>
                <w:szCs w:val="22"/>
              </w:rPr>
              <w:t>$275,756.55</w:t>
            </w:r>
          </w:p>
        </w:tc>
        <w:tc>
          <w:tcPr>
            <w:tcW w:w="1530" w:type="dxa"/>
            <w:vAlign w:val="center"/>
          </w:tcPr>
          <w:p w14:paraId="2D51A31B" w14:textId="4018A7E5" w:rsidR="00D35740" w:rsidRPr="000A51BA" w:rsidRDefault="007237A6" w:rsidP="009D2D53">
            <w:pPr>
              <w:jc w:val="center"/>
              <w:rPr>
                <w:sz w:val="22"/>
                <w:szCs w:val="22"/>
                <w:u w:val="single"/>
              </w:rPr>
            </w:pPr>
            <w:r w:rsidRPr="000A51BA">
              <w:rPr>
                <w:sz w:val="22"/>
                <w:szCs w:val="22"/>
              </w:rPr>
              <w:t>$297,534.88</w:t>
            </w:r>
          </w:p>
        </w:tc>
        <w:tc>
          <w:tcPr>
            <w:tcW w:w="1530" w:type="dxa"/>
            <w:vAlign w:val="center"/>
          </w:tcPr>
          <w:p w14:paraId="2FEB1083" w14:textId="2642346D" w:rsidR="00D35740" w:rsidRPr="000A51BA" w:rsidRDefault="007237A6" w:rsidP="009D2D53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$</w:t>
            </w:r>
            <w:r w:rsidRPr="00347E32">
              <w:rPr>
                <w:sz w:val="22"/>
                <w:szCs w:val="22"/>
              </w:rPr>
              <w:t>274,198.63</w:t>
            </w:r>
          </w:p>
        </w:tc>
        <w:tc>
          <w:tcPr>
            <w:tcW w:w="1620" w:type="dxa"/>
            <w:vAlign w:val="center"/>
          </w:tcPr>
          <w:p w14:paraId="67E532ED" w14:textId="686DA069" w:rsidR="00D35740" w:rsidRPr="00347E32" w:rsidRDefault="00D35740" w:rsidP="009D2D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7237A6">
              <w:rPr>
                <w:sz w:val="22"/>
                <w:szCs w:val="22"/>
              </w:rPr>
              <w:t>328,149.76</w:t>
            </w:r>
          </w:p>
        </w:tc>
      </w:tr>
      <w:tr w:rsidR="00D35740" w14:paraId="29787CB7" w14:textId="77777777" w:rsidTr="009D2D53">
        <w:trPr>
          <w:trHeight w:val="664"/>
        </w:trPr>
        <w:tc>
          <w:tcPr>
            <w:tcW w:w="3415" w:type="dxa"/>
            <w:vAlign w:val="center"/>
          </w:tcPr>
          <w:p w14:paraId="42ADB9FF" w14:textId="77777777" w:rsidR="00D35740" w:rsidRPr="000A51BA" w:rsidRDefault="00D35740" w:rsidP="009D2D53">
            <w:pPr>
              <w:ind w:right="-360"/>
              <w:rPr>
                <w:sz w:val="22"/>
                <w:szCs w:val="22"/>
              </w:rPr>
            </w:pPr>
            <w:r w:rsidRPr="000A51BA">
              <w:rPr>
                <w:sz w:val="22"/>
                <w:szCs w:val="22"/>
              </w:rPr>
              <w:t>Fleet, general liability, property and</w:t>
            </w:r>
          </w:p>
          <w:p w14:paraId="1DC53272" w14:textId="77777777" w:rsidR="00D35740" w:rsidRPr="000A51BA" w:rsidRDefault="00D35740" w:rsidP="009D2D53">
            <w:pPr>
              <w:rPr>
                <w:sz w:val="22"/>
                <w:szCs w:val="22"/>
              </w:rPr>
            </w:pPr>
            <w:r w:rsidRPr="000A51BA">
              <w:rPr>
                <w:sz w:val="22"/>
                <w:szCs w:val="22"/>
              </w:rPr>
              <w:t>umbrella insurance</w:t>
            </w:r>
          </w:p>
        </w:tc>
        <w:tc>
          <w:tcPr>
            <w:tcW w:w="1530" w:type="dxa"/>
            <w:vAlign w:val="center"/>
          </w:tcPr>
          <w:p w14:paraId="312D0BD8" w14:textId="0207E225" w:rsidR="00D35740" w:rsidRPr="000A51BA" w:rsidRDefault="00D35740" w:rsidP="009D2D53">
            <w:pPr>
              <w:jc w:val="center"/>
              <w:rPr>
                <w:sz w:val="22"/>
                <w:szCs w:val="22"/>
                <w:u w:val="single"/>
              </w:rPr>
            </w:pPr>
            <w:r w:rsidRPr="000A51BA">
              <w:rPr>
                <w:bCs/>
                <w:sz w:val="22"/>
                <w:szCs w:val="22"/>
              </w:rPr>
              <w:t>$861,910.00</w:t>
            </w:r>
          </w:p>
        </w:tc>
        <w:tc>
          <w:tcPr>
            <w:tcW w:w="1530" w:type="dxa"/>
            <w:vAlign w:val="center"/>
          </w:tcPr>
          <w:p w14:paraId="282C1B70" w14:textId="6B3EBD38" w:rsidR="00D35740" w:rsidRPr="000A51BA" w:rsidRDefault="007237A6" w:rsidP="009D2D53">
            <w:pPr>
              <w:jc w:val="center"/>
              <w:rPr>
                <w:sz w:val="22"/>
                <w:szCs w:val="22"/>
                <w:u w:val="single"/>
              </w:rPr>
            </w:pPr>
            <w:r w:rsidRPr="000A51BA">
              <w:rPr>
                <w:sz w:val="22"/>
                <w:szCs w:val="22"/>
              </w:rPr>
              <w:t>$1,014,454.00</w:t>
            </w:r>
          </w:p>
        </w:tc>
        <w:tc>
          <w:tcPr>
            <w:tcW w:w="1530" w:type="dxa"/>
            <w:vAlign w:val="center"/>
          </w:tcPr>
          <w:p w14:paraId="3F25537B" w14:textId="3BD9CBC2" w:rsidR="00D35740" w:rsidRPr="000A51BA" w:rsidRDefault="007237A6" w:rsidP="009D2D53">
            <w:pPr>
              <w:jc w:val="center"/>
              <w:rPr>
                <w:sz w:val="22"/>
                <w:szCs w:val="22"/>
                <w:u w:val="single"/>
              </w:rPr>
            </w:pPr>
            <w:r w:rsidRPr="00F725BF">
              <w:rPr>
                <w:sz w:val="22"/>
                <w:szCs w:val="22"/>
              </w:rPr>
              <w:t>$1,287,737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620" w:type="dxa"/>
            <w:vAlign w:val="center"/>
          </w:tcPr>
          <w:p w14:paraId="16006D94" w14:textId="5603BCD6" w:rsidR="00D35740" w:rsidRPr="00F725BF" w:rsidRDefault="00D35740" w:rsidP="009D2D53">
            <w:pPr>
              <w:jc w:val="right"/>
              <w:rPr>
                <w:sz w:val="22"/>
                <w:szCs w:val="22"/>
              </w:rPr>
            </w:pPr>
            <w:r w:rsidRPr="00F725BF">
              <w:rPr>
                <w:sz w:val="22"/>
                <w:szCs w:val="22"/>
              </w:rPr>
              <w:t>$1,</w:t>
            </w:r>
            <w:r w:rsidR="007237A6">
              <w:rPr>
                <w:sz w:val="22"/>
                <w:szCs w:val="22"/>
              </w:rPr>
              <w:t>490,331.00</w:t>
            </w:r>
          </w:p>
        </w:tc>
      </w:tr>
      <w:tr w:rsidR="00D35740" w:rsidRPr="000A51BA" w14:paraId="5212874A" w14:textId="77777777" w:rsidTr="009D2D53">
        <w:trPr>
          <w:trHeight w:val="341"/>
        </w:trPr>
        <w:tc>
          <w:tcPr>
            <w:tcW w:w="3415" w:type="dxa"/>
            <w:vAlign w:val="center"/>
          </w:tcPr>
          <w:p w14:paraId="0E5549EE" w14:textId="77777777" w:rsidR="00D35740" w:rsidRPr="000A51BA" w:rsidRDefault="00D35740" w:rsidP="00D35740">
            <w:pPr>
              <w:ind w:right="-360"/>
              <w:rPr>
                <w:b/>
                <w:bCs/>
                <w:sz w:val="22"/>
                <w:szCs w:val="22"/>
              </w:rPr>
            </w:pPr>
            <w:r w:rsidRPr="000A51BA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30" w:type="dxa"/>
            <w:vAlign w:val="center"/>
          </w:tcPr>
          <w:p w14:paraId="7901F3F1" w14:textId="7A79C319" w:rsidR="00D35740" w:rsidRPr="000A51BA" w:rsidRDefault="00D35740" w:rsidP="00D35740">
            <w:pPr>
              <w:jc w:val="center"/>
              <w:rPr>
                <w:b/>
                <w:bCs/>
                <w:sz w:val="22"/>
                <w:szCs w:val="22"/>
              </w:rPr>
            </w:pPr>
            <w:r w:rsidRPr="000A51BA">
              <w:rPr>
                <w:b/>
                <w:bCs/>
                <w:sz w:val="22"/>
                <w:szCs w:val="22"/>
              </w:rPr>
              <w:t>$1,137,666.55</w:t>
            </w:r>
          </w:p>
        </w:tc>
        <w:tc>
          <w:tcPr>
            <w:tcW w:w="1530" w:type="dxa"/>
            <w:vAlign w:val="center"/>
          </w:tcPr>
          <w:p w14:paraId="5AF86580" w14:textId="77777777" w:rsidR="00D35740" w:rsidRPr="000A51BA" w:rsidRDefault="00D35740" w:rsidP="00D35740">
            <w:pPr>
              <w:jc w:val="center"/>
              <w:rPr>
                <w:b/>
                <w:bCs/>
                <w:sz w:val="22"/>
                <w:szCs w:val="22"/>
              </w:rPr>
            </w:pPr>
            <w:r w:rsidRPr="000A51BA">
              <w:rPr>
                <w:b/>
                <w:bCs/>
                <w:sz w:val="22"/>
                <w:szCs w:val="22"/>
              </w:rPr>
              <w:t>$1,137,666.55</w:t>
            </w:r>
          </w:p>
        </w:tc>
        <w:tc>
          <w:tcPr>
            <w:tcW w:w="1530" w:type="dxa"/>
            <w:vAlign w:val="center"/>
          </w:tcPr>
          <w:p w14:paraId="065AD092" w14:textId="77777777" w:rsidR="00D35740" w:rsidRPr="000A51BA" w:rsidRDefault="00D35740" w:rsidP="00D35740">
            <w:pPr>
              <w:jc w:val="center"/>
              <w:rPr>
                <w:b/>
                <w:bCs/>
                <w:sz w:val="22"/>
                <w:szCs w:val="22"/>
              </w:rPr>
            </w:pPr>
            <w:r w:rsidRPr="000A51BA">
              <w:rPr>
                <w:b/>
                <w:bCs/>
                <w:sz w:val="22"/>
                <w:szCs w:val="22"/>
              </w:rPr>
              <w:t>$1,311,988.88</w:t>
            </w:r>
          </w:p>
        </w:tc>
        <w:tc>
          <w:tcPr>
            <w:tcW w:w="1620" w:type="dxa"/>
            <w:vAlign w:val="center"/>
          </w:tcPr>
          <w:p w14:paraId="6500282F" w14:textId="113CABA5" w:rsidR="00D35740" w:rsidRPr="000A51BA" w:rsidRDefault="00D35740" w:rsidP="00D3574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="007237A6">
              <w:rPr>
                <w:b/>
                <w:bCs/>
                <w:sz w:val="22"/>
                <w:szCs w:val="22"/>
              </w:rPr>
              <w:t>1,818,480.76</w:t>
            </w:r>
          </w:p>
        </w:tc>
      </w:tr>
    </w:tbl>
    <w:p w14:paraId="2BDCF129" w14:textId="77777777" w:rsidR="00D35740" w:rsidRPr="00BB2616" w:rsidRDefault="00D35740" w:rsidP="00D35740">
      <w:pPr>
        <w:jc w:val="both"/>
        <w:rPr>
          <w:sz w:val="22"/>
          <w:szCs w:val="22"/>
        </w:rPr>
      </w:pPr>
    </w:p>
    <w:p w14:paraId="561C6C1D" w14:textId="77777777" w:rsidR="00D35740" w:rsidRPr="00BB2616" w:rsidRDefault="00D35740" w:rsidP="00D35740">
      <w:pPr>
        <w:jc w:val="both"/>
        <w:rPr>
          <w:b/>
          <w:bCs/>
          <w:sz w:val="22"/>
          <w:szCs w:val="22"/>
        </w:rPr>
      </w:pPr>
      <w:r w:rsidRPr="00BB2616">
        <w:rPr>
          <w:b/>
          <w:bCs/>
          <w:sz w:val="22"/>
          <w:szCs w:val="22"/>
        </w:rPr>
        <w:t xml:space="preserve">RECOMMENDATION </w:t>
      </w:r>
    </w:p>
    <w:p w14:paraId="1B6C738C" w14:textId="77777777" w:rsidR="00D35740" w:rsidRPr="00BB2616" w:rsidRDefault="00D35740" w:rsidP="00D35740">
      <w:pPr>
        <w:spacing w:after="120"/>
        <w:rPr>
          <w:sz w:val="22"/>
          <w:szCs w:val="22"/>
        </w:rPr>
      </w:pPr>
      <w:r w:rsidRPr="00BB2616">
        <w:rPr>
          <w:sz w:val="22"/>
          <w:szCs w:val="22"/>
        </w:rPr>
        <w:t xml:space="preserve">Renew our insurance policies through Insurance Associates for property, general liability, fleet, umbrella and workers’ compensation coverage.  </w:t>
      </w:r>
    </w:p>
    <w:p w14:paraId="2A9981A0" w14:textId="77777777" w:rsidR="00D35740" w:rsidRDefault="00D35740" w:rsidP="00D35740">
      <w:pPr>
        <w:rPr>
          <w:sz w:val="22"/>
          <w:szCs w:val="22"/>
        </w:rPr>
      </w:pPr>
      <w:bookmarkStart w:id="0" w:name="_Hlk46393995"/>
      <w:bookmarkStart w:id="1" w:name="_Hlk98834597"/>
    </w:p>
    <w:p w14:paraId="5E0EA0B4" w14:textId="77777777" w:rsidR="00D35740" w:rsidRDefault="00D35740" w:rsidP="00D35740">
      <w:pPr>
        <w:pBdr>
          <w:bottom w:val="single" w:sz="4" w:space="1" w:color="auto"/>
        </w:pBdr>
        <w:rPr>
          <w:sz w:val="22"/>
          <w:szCs w:val="22"/>
        </w:rPr>
      </w:pPr>
    </w:p>
    <w:p w14:paraId="72380177" w14:textId="77777777" w:rsidR="00D35740" w:rsidRPr="00BB2616" w:rsidRDefault="00D35740" w:rsidP="00D35740">
      <w:pPr>
        <w:rPr>
          <w:sz w:val="22"/>
          <w:szCs w:val="22"/>
        </w:rPr>
      </w:pPr>
    </w:p>
    <w:p w14:paraId="699D1788" w14:textId="26A77664" w:rsidR="00D35740" w:rsidRPr="00BB2616" w:rsidRDefault="00D35740" w:rsidP="00D35740">
      <w:pPr>
        <w:rPr>
          <w:sz w:val="22"/>
          <w:szCs w:val="22"/>
        </w:rPr>
      </w:pPr>
      <w:bookmarkStart w:id="2" w:name="_Hlk125015015"/>
      <w:r w:rsidRPr="00345BFF">
        <w:rPr>
          <w:sz w:val="22"/>
          <w:szCs w:val="22"/>
        </w:rPr>
        <w:t xml:space="preserve">On a motion by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539BD05845DC4123BCE6027ACB83ACCF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>
            <w:rPr>
              <w:sz w:val="22"/>
              <w:szCs w:val="22"/>
              <w:u w:val="single"/>
            </w:rPr>
            <w:t>__________</w:t>
          </w:r>
        </w:sdtContent>
      </w:sdt>
      <w:r w:rsidRPr="00345BFF">
        <w:rPr>
          <w:sz w:val="22"/>
          <w:szCs w:val="22"/>
        </w:rPr>
        <w:t xml:space="preserve">, seconded by </w:t>
      </w:r>
      <w:sdt>
        <w:sdtPr>
          <w:rPr>
            <w:sz w:val="22"/>
            <w:szCs w:val="22"/>
            <w:u w:val="single"/>
          </w:rPr>
          <w:id w:val="2128340946"/>
          <w:placeholder>
            <w:docPart w:val="431DF488F8B844CCA1C2535E6092F6E8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>
            <w:rPr>
              <w:sz w:val="22"/>
              <w:szCs w:val="22"/>
              <w:u w:val="single"/>
            </w:rPr>
            <w:t>__________</w:t>
          </w:r>
        </w:sdtContent>
      </w:sdt>
      <w:r w:rsidRPr="00345BFF">
        <w:rPr>
          <w:sz w:val="22"/>
          <w:szCs w:val="22"/>
        </w:rPr>
        <w:t>, the Board</w:t>
      </w:r>
      <w:bookmarkEnd w:id="2"/>
      <w:r w:rsidRPr="00BB2616">
        <w:rPr>
          <w:sz w:val="22"/>
          <w:szCs w:val="22"/>
        </w:rPr>
        <w:t xml:space="preserve"> approved the Renewal of our insurance policies through Insurance Associates for property, general liability, fleet, umbrella and workers’ compensation coverage as presented.</w:t>
      </w:r>
      <w:r w:rsidR="00610A2F">
        <w:rPr>
          <w:sz w:val="22"/>
          <w:szCs w:val="22"/>
        </w:rPr>
        <w:t xml:space="preserve"> ( </w:t>
      </w:r>
      <w:proofErr w:type="gramStart"/>
      <w:r w:rsidR="00610A2F">
        <w:rPr>
          <w:sz w:val="22"/>
          <w:szCs w:val="22"/>
        </w:rPr>
        <w:t>, )</w:t>
      </w:r>
      <w:proofErr w:type="gramEnd"/>
    </w:p>
    <w:p w14:paraId="4A9CAC6C" w14:textId="490419E8" w:rsidR="00D35740" w:rsidRPr="00345BFF" w:rsidRDefault="00D35740" w:rsidP="00D35740">
      <w:pPr>
        <w:rPr>
          <w:sz w:val="22"/>
          <w:szCs w:val="28"/>
          <w:u w:val="single"/>
        </w:rPr>
      </w:pPr>
      <w:bookmarkStart w:id="3" w:name="_Hlk118983785"/>
      <w:bookmarkEnd w:id="0"/>
      <w:bookmarkEnd w:id="1"/>
    </w:p>
    <w:p w14:paraId="778F9A46" w14:textId="3634C94C" w:rsidR="00D35740" w:rsidRPr="00345BFF" w:rsidRDefault="00610A2F" w:rsidP="00D35740">
      <w:pPr>
        <w:rPr>
          <w:sz w:val="22"/>
          <w:szCs w:val="28"/>
          <w:u w:val="single"/>
        </w:rPr>
      </w:pPr>
      <w:r>
        <w:rPr>
          <w:noProof/>
          <w:sz w:val="22"/>
          <w:szCs w:val="28"/>
          <w:u w:val="singl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F5CED33" wp14:editId="187FCA79">
            <wp:simplePos x="0" y="0"/>
            <wp:positionH relativeFrom="column">
              <wp:posOffset>523875</wp:posOffset>
            </wp:positionH>
            <wp:positionV relativeFrom="paragraph">
              <wp:posOffset>49530</wp:posOffset>
            </wp:positionV>
            <wp:extent cx="1369060" cy="409575"/>
            <wp:effectExtent l="0" t="0" r="2540" b="9525"/>
            <wp:wrapNone/>
            <wp:docPr id="866906331" name="Picture 2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06331" name="Picture 2" descr="A black snake on a white background&#10;&#10;AI-generated content may be incorrect.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8"/>
          <w:u w:val="singl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705F4E3" wp14:editId="01759FCA">
            <wp:simplePos x="0" y="0"/>
            <wp:positionH relativeFrom="column">
              <wp:posOffset>3295650</wp:posOffset>
            </wp:positionH>
            <wp:positionV relativeFrom="paragraph">
              <wp:posOffset>52070</wp:posOffset>
            </wp:positionV>
            <wp:extent cx="2540270" cy="521529"/>
            <wp:effectExtent l="0" t="0" r="0" b="0"/>
            <wp:wrapNone/>
            <wp:docPr id="1025513873" name="Picture 1" descr="A close-up of a black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13873" name="Picture 1" descr="A close-up of a black letter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270" cy="52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E76F9" w14:textId="0032C178" w:rsidR="00D35740" w:rsidRPr="00345BFF" w:rsidRDefault="00D35740" w:rsidP="00D35740">
      <w:pPr>
        <w:rPr>
          <w:sz w:val="22"/>
          <w:szCs w:val="28"/>
          <w:u w:val="single"/>
        </w:rPr>
      </w:pPr>
    </w:p>
    <w:p w14:paraId="3AC71EED" w14:textId="77777777" w:rsidR="00D35740" w:rsidRPr="0065457B" w:rsidRDefault="00D35740" w:rsidP="00D35740">
      <w:pPr>
        <w:rPr>
          <w:u w:val="single"/>
        </w:rPr>
      </w:pPr>
      <w:bookmarkStart w:id="4" w:name="_Hlk118983766"/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</w:p>
    <w:p w14:paraId="03FA363B" w14:textId="59625F40" w:rsidR="00D35740" w:rsidRPr="00F239B4" w:rsidRDefault="007237A6" w:rsidP="00D35740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D35740">
        <w:rPr>
          <w:i/>
          <w:sz w:val="16"/>
          <w:szCs w:val="18"/>
        </w:rPr>
        <w:t xml:space="preserve">, </w:t>
      </w:r>
      <w:r w:rsidR="00D35740" w:rsidRPr="0065457B">
        <w:rPr>
          <w:i/>
          <w:sz w:val="16"/>
          <w:szCs w:val="18"/>
        </w:rPr>
        <w:t>Board Chair</w:t>
      </w:r>
      <w:r w:rsidR="00D35740" w:rsidRPr="0065457B">
        <w:rPr>
          <w:i/>
          <w:sz w:val="16"/>
          <w:szCs w:val="18"/>
        </w:rPr>
        <w:tab/>
      </w:r>
      <w:r w:rsidR="00D35740" w:rsidRPr="0065457B">
        <w:rPr>
          <w:i/>
          <w:sz w:val="16"/>
          <w:szCs w:val="18"/>
        </w:rPr>
        <w:tab/>
      </w:r>
      <w:r w:rsidR="00D35740" w:rsidRPr="0065457B">
        <w:rPr>
          <w:i/>
          <w:sz w:val="16"/>
          <w:szCs w:val="18"/>
        </w:rPr>
        <w:tab/>
      </w:r>
      <w:r w:rsidR="00D35740" w:rsidRPr="0065457B">
        <w:rPr>
          <w:i/>
          <w:sz w:val="16"/>
          <w:szCs w:val="18"/>
        </w:rPr>
        <w:tab/>
      </w:r>
      <w:r w:rsidR="00D35740" w:rsidRPr="0065457B">
        <w:rPr>
          <w:i/>
          <w:sz w:val="16"/>
          <w:szCs w:val="18"/>
        </w:rPr>
        <w:tab/>
      </w:r>
      <w:r w:rsidR="00610A2F">
        <w:rPr>
          <w:i/>
          <w:sz w:val="16"/>
          <w:szCs w:val="18"/>
        </w:rPr>
        <w:t>Claudette Herald</w:t>
      </w:r>
      <w:r w:rsidR="00D35740" w:rsidRPr="0065457B">
        <w:rPr>
          <w:i/>
          <w:sz w:val="16"/>
          <w:szCs w:val="18"/>
        </w:rPr>
        <w:t>, Superintendent/Secretary</w:t>
      </w:r>
      <w:bookmarkEnd w:id="3"/>
      <w:bookmarkEnd w:id="4"/>
    </w:p>
    <w:p w14:paraId="170FA0F2" w14:textId="77777777" w:rsidR="003720A9" w:rsidRDefault="003720A9"/>
    <w:sectPr w:rsidR="003720A9" w:rsidSect="00D357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3672" w14:textId="77777777" w:rsidR="00610A2F" w:rsidRDefault="00610A2F">
      <w:r>
        <w:separator/>
      </w:r>
    </w:p>
  </w:endnote>
  <w:endnote w:type="continuationSeparator" w:id="0">
    <w:p w14:paraId="763E3843" w14:textId="77777777" w:rsidR="00610A2F" w:rsidRDefault="0061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2BC3" w14:textId="77777777" w:rsidR="00610A2F" w:rsidRDefault="00610A2F">
      <w:r>
        <w:separator/>
      </w:r>
    </w:p>
  </w:footnote>
  <w:footnote w:type="continuationSeparator" w:id="0">
    <w:p w14:paraId="5EDEDFE8" w14:textId="77777777" w:rsidR="00610A2F" w:rsidRDefault="0061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1787" w14:textId="77777777" w:rsidR="007237A6" w:rsidRPr="00C209B1" w:rsidRDefault="007237A6" w:rsidP="00704652">
    <w:pPr>
      <w:pStyle w:val="Header"/>
      <w:jc w:val="right"/>
      <w:rPr>
        <w:color w:val="FF0000"/>
        <w:sz w:val="1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0"/>
    <w:rsid w:val="000A10DC"/>
    <w:rsid w:val="000B298F"/>
    <w:rsid w:val="003720A9"/>
    <w:rsid w:val="00610A2F"/>
    <w:rsid w:val="007237A6"/>
    <w:rsid w:val="00BF5318"/>
    <w:rsid w:val="00D3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56D6"/>
  <w15:chartTrackingRefBased/>
  <w15:docId w15:val="{0E03FB7A-0513-4EAF-9BF7-6C116D67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4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7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7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7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7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7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7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7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7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7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7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7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7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7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357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35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4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9BD05845DC4123BCE6027ACB83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D5E5B-194A-4395-BF9D-F2804AF9EB36}"/>
      </w:docPartPr>
      <w:docPartBody>
        <w:p w:rsidR="00DA5BD7" w:rsidRDefault="00DA5BD7" w:rsidP="00DA5BD7">
          <w:pPr>
            <w:pStyle w:val="539BD05845DC4123BCE6027ACB83ACC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31DF488F8B844CCA1C2535E6092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6F731-6497-4F16-A90C-C957850F97C3}"/>
      </w:docPartPr>
      <w:docPartBody>
        <w:p w:rsidR="00DA5BD7" w:rsidRDefault="00DA5BD7" w:rsidP="00DA5BD7">
          <w:pPr>
            <w:pStyle w:val="431DF488F8B844CCA1C2535E6092F6E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D7"/>
    <w:rsid w:val="000B298F"/>
    <w:rsid w:val="00BF5318"/>
    <w:rsid w:val="00DA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BD7"/>
  </w:style>
  <w:style w:type="paragraph" w:customStyle="1" w:styleId="539BD05845DC4123BCE6027ACB83ACCF">
    <w:name w:val="539BD05845DC4123BCE6027ACB83ACCF"/>
    <w:rsid w:val="00DA5BD7"/>
  </w:style>
  <w:style w:type="paragraph" w:customStyle="1" w:styleId="431DF488F8B844CCA1C2535E6092F6E8">
    <w:name w:val="431DF488F8B844CCA1C2535E6092F6E8"/>
    <w:rsid w:val="00DA5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Luxemburger, Kate</dc:creator>
  <cp:keywords/>
  <dc:description/>
  <cp:lastModifiedBy>Jones, Debbie</cp:lastModifiedBy>
  <cp:revision>2</cp:revision>
  <dcterms:created xsi:type="dcterms:W3CDTF">2025-06-09T12:49:00Z</dcterms:created>
  <dcterms:modified xsi:type="dcterms:W3CDTF">2025-06-17T16:29:00Z</dcterms:modified>
</cp:coreProperties>
</file>