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rtl w:val="0"/>
        </w:rPr>
        <w:t xml:space="preserve">12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/2025</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Boone County Schools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HOUGHTON MIFFLIN HARCOURT (HMH)</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NWEA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MAP</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Subscription Period: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July 1, </w:t>
      </w:r>
      <w:r w:rsidDel="00000000" w:rsidR="00000000" w:rsidRPr="00000000">
        <w:rPr>
          <w:rFonts w:ascii="Calibri" w:cs="Calibri" w:eastAsia="Calibri" w:hAnsi="Calibri"/>
          <w:rtl w:val="0"/>
        </w:rPr>
        <w:t xml:space="preserve">2025 - June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30, 2026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8.21 Strategic Plan Goal 4B-1: Boone County Schools will ensure all students will receive rigorous and engaging instruction via a guaranteed and viable curriculum in every classroom, every day.</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NWEA Measures of Academic Progress (MAP) will provide Boone County Schools with a suite of high-quality, computer-adaptive assessments designed to deliver timely, detailed insights into student learning and growth. These assessments will help teachers identify each student’s academic level, whether they are working above, on, or below grade level. With this data, educators can tailor instruction, form targeted learning groups, and monitor academic growth over time. Importantly, this platform meets Kentucky state requirements for K–12 assessment monitoring and screening and is included on the list of approved programs provided by the state. Its cost is comparable to other state-approved options, making it both a compliant and cost-effective solution. Overall, MAP equips teachers, school leaders, and district administrators with the tools and data they need to make informed decisions that support student achievement and long-term academic success.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rtl w:val="0"/>
        </w:rPr>
        <w:t xml:space="preserve">282,697.00</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General Fund</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color w:val="808080"/>
          <w:sz w:val="22"/>
          <w:szCs w:val="22"/>
          <w:rtl w:val="0"/>
        </w:rPr>
        <w:t xml:space="preserve">N/A</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color w:val="808080"/>
          <w:rtl w:val="0"/>
        </w:rPr>
        <w:t xml:space="preserve">N/A</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recommend the Board approve this contract between Boone County Schools and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NWEA, a division of HMH for MAP Growth K-12 </w:t>
      </w:r>
      <w:r w:rsidDel="00000000" w:rsidR="00000000" w:rsidRPr="00000000">
        <w:rPr>
          <w:rFonts w:ascii="Calibri" w:cs="Calibri" w:eastAsia="Calibri" w:hAnsi="Calibri"/>
          <w:rtl w:val="0"/>
        </w:rPr>
        <w:t xml:space="preserve">for SY 2025-2026</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presented.</w:t>
      </w:r>
      <w:r w:rsidDel="00000000" w:rsidR="00000000" w:rsidRPr="00000000">
        <w:rPr>
          <w:rtl w:val="0"/>
        </w:rPr>
      </w:r>
    </w:p>
    <w:p w:rsidR="00000000" w:rsidDel="00000000" w:rsidP="00000000" w:rsidRDefault="00000000" w:rsidRPr="00000000" w14:paraId="00000022">
      <w:pPr>
        <w:rPr>
          <w:sz w:val="8"/>
          <w:szCs w:val="8"/>
        </w:rPr>
      </w:pPr>
      <w:r w:rsidDel="00000000" w:rsidR="00000000" w:rsidRPr="00000000">
        <w:rPr>
          <w:rtl w:val="0"/>
        </w:rPr>
      </w:r>
    </w:p>
    <w:p w:rsidR="00000000" w:rsidDel="00000000" w:rsidP="00000000" w:rsidRDefault="00000000" w:rsidRPr="00000000" w14:paraId="00000023">
      <w:pPr>
        <w:rPr/>
      </w:pPr>
      <w:r w:rsidDel="00000000" w:rsidR="00000000" w:rsidRPr="00000000">
        <w:rPr>
          <w:rFonts w:ascii="Calibri" w:cs="Calibri" w:eastAsia="Calibri" w:hAnsi="Calibri"/>
          <w:color w:val="000000"/>
          <w:rtl w:val="0"/>
        </w:rPr>
        <w:t xml:space="preserve">Dr. Jim Detwiler, Deputy Superintendent /CAO</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Kyle Berberich, Director of Technology</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75"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-104773</wp:posOffset>
          </wp:positionV>
          <wp:extent cx="2566670" cy="800100"/>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E">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-253999</wp:posOffset>
              </wp:positionH>
              <wp:positionV relativeFrom="paragraph">
                <wp:posOffset>38100</wp:posOffset>
              </wp:positionV>
              <wp:extent cx="7302500" cy="22225"/>
              <wp:effectExtent b="0" l="0" r="0" t="0"/>
              <wp:wrapNone/>
              <wp:docPr id="3"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38100</wp:posOffset>
              </wp:positionV>
              <wp:extent cx="7302500" cy="22225"/>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302500" cy="22225"/>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178X3k8G0t0QAD9RY0YJZtv79Q==">CgMxLjA4AHIhMTRSZFRkb1hURTl2YzEwNUhaV1NzaWJhRDNWejRVRUIx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a89e4e566fdb44905d7a5be8422333c9a3f5830440d4895e5bddf8b78a1eaea3</vt:lpwstr>
  </property>
</Properties>
</file>