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tab/>
        <w:t xml:space="preserve">        </w:t>
        <w:tab/>
        <w:tab/>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rtl w:val="0"/>
        </w:rPr>
        <w:t xml:space="preserve">6/12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/2025</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Learning Support Services / English Language Learners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Refugee Connect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Memorandum of Understanding for Community Partnerships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July 1, 2025 – June 30, 2026</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808080"/>
          <w:sz w:val="24"/>
          <w:szCs w:val="24"/>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Strategic Plan Connection – Goal 3: Stakeholder Engagement. “Boone County Schools will increase and expand community and business partnerships” (3B)</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808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purpose of this Memorandum of Understanding is to clearly identify the roles and responsibilities of the Boone County School District and Refugee Connect as they relate to the partnership between the two.</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recommend that the Board approve this Memorandum of Understanding between Boone County Schools and Refugee Connect, as presented.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Dr. James Detwiler, Deputy Superintendent / CAO</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CONTACT PERSON: (submitter)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Alisa Alcock, EL Coordinator</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08"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ind w:left="3600" w:hanging="3600"/>
      <w:rPr>
        <w:rFonts w:ascii="Arial Black" w:cs="Arial Black" w:eastAsia="Arial Black" w:hAnsi="Arial Black"/>
        <w:b w:val="1"/>
        <w:color w:val="1f497d"/>
        <w:sz w:val="22"/>
        <w:szCs w:val="22"/>
      </w:rPr>
    </w:pPr>
    <w:r w:rsidDel="00000000" w:rsidR="00000000" w:rsidRPr="00000000">
      <w:rPr>
        <w:rFonts w:ascii="Arial Black" w:cs="Arial Black" w:eastAsia="Arial Black" w:hAnsi="Arial Black"/>
        <w:b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Karen Byrd</w:t>
      <w:tab/>
      <w:tab/>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Julie Maddox</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 Jesse Parks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2F">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i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F7415"/>
    <w:rPr>
      <w:sz w:val="24"/>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rPr>
      <w:sz w:val="24"/>
    </w:rPr>
  </w:style>
  <w:style w:type="character" w:styleId="PlaceholderText">
    <w:name w:val="Placeholder Text"/>
    <w:basedOn w:val="DefaultParagraphFont"/>
    <w:uiPriority w:val="99"/>
    <w:semiHidden w:val="1"/>
    <w:rsid w:val="008A2749"/>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ZfE40R59tGwKHifXbpubIVFp0w==">CgMxLjA4AHIhMU5TWlU3S3o2aFhIRHM3cjE1VXliaWItYzlnaE53MW1M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2025-04-25T19:17:00Z</dcterms:created>
  <dc:creator>Staff</dc:creator>
</cp:coreProperties>
</file>