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Enzweiler Building Institute “EBI”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ind w:left="27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Agreement for Vocational Building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June 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APPLICABLE BOARD POLICY &amp; STRATEGIC PLAN GOAL: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Strategic Plan- Goal 1: World Class Education. “Boone County Schools will ensure all students will receive rigorous and engaging instruction” (1B)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DESCRIBE USE OF CONTRACT/PURCHASE/AGREEMENT: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curriculum for Introduction to Skilled Trades (KY-DoE) Residential Maintenance Carpenter Assistant Pathway will accommodate at least 40 students through the EBI program, with the district allocating $40,000 for these students and an additional $600 for each student participant beyond that, while also covering the EBI instructor's fee of $30 per hour for a five-hour daily (20 hours per week), Monday to Thursday, billed monthly.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Fees: $40,000.00 (Cost of participation per student is $1,000.00) 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EBI Instructor Fees: $30.00 per hour, for up to 5 hours per day (NTE 20 hours per week)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FUNDING FOR PURCHASES AND OTHER REQUESTS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(Not to exceed)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$75,000.00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LAVEC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agreement with Enzweiler building Institute,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of MS/HS Teaching &amp; Learning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jBuHLM7Xqnt+uckbeOqTsGoXw==">CgMxLjA4AHIhMUdia0gwcWxkV1kzOVF6dW9STXpydnYtV2w4eEllM3N1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2025-04-28T17:26:00Z</dcterms:created>
  <dc:creator>Staff</dc:creator>
</cp:coreProperties>
</file>