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6/12/2025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Support Services  / Special Education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Jigsaw Learning, LLC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Teachtown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7/31/25 – 7/30/26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Boone County Schools will ensure all students will receive rigorous and engaging instruction via a guaranteed and viable curriculum in every classroom, every day</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single sourced item that utilizes thematic units to provide students with autism and intellectual disabilities access to a standards-based core curriculum that uses principles of Applied Behavior Analysis.  In addition to using behavior principles, the program is unique in that it uses classic children’s literature to serve as a launching point for students to gain exposure to content standards. The product includes adapted children’s literature, implementation guides, resources for language arts, science, social studies, and math as well as manipulatives and hands on materials.  Additionally, the purchase includes individual student licenses for a technology component that increases student choice and independence in their learning.    The units included in the content standards utilize the adapted children’s literature that is integrated with the technology component.  Additional technology supports splintered skills so that students can move from exposure to mastery.  In addition to the above-mentioned product, professional development will be needed to provide the training and coaching for the teachers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84,147.10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(Reading Library: </w:t>
      </w:r>
      <w:r w:rsidDel="00000000" w:rsidR="00000000" w:rsidRPr="00000000">
        <w:rPr>
          <w:rFonts w:ascii="Calibri" w:cs="Calibri" w:eastAsia="Calibri" w:hAnsi="Calibri"/>
          <w:rtl w:val="0"/>
        </w:rPr>
        <w:t xml:space="preserve">$36,882.70 + Technology: $47,264.40 )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contract between  Boone County Schools </w:t>
      </w:r>
      <w:r w:rsidDel="00000000" w:rsidR="00000000" w:rsidRPr="00000000">
        <w:rPr>
          <w:rFonts w:ascii="Calibri" w:cs="Calibri" w:eastAsia="Calibri" w:hAnsi="Calibri"/>
          <w:rtl w:val="0"/>
        </w:rPr>
        <w:t xml:space="preserve">and Teachtown,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Jim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Jodi Hall, Director of Special Education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w3R+OkNfVWS9VPF+bEMNoTWe3w==">CgMxLjA4AHIhMTZNdE0wemVzT1BrbEJINTZoZmRuOHhxR29UOVZheUxG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2024-12-12T19:07:00Z</dcterms:created>
  <dc:creator>Staff</dc:creator>
</cp:coreProperties>
</file>