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firstLine="720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rtl w:val="0"/>
        </w:rPr>
        <w:t xml:space="preserve">          </w:t>
        <w:tab/>
        <w:t xml:space="preserve">        </w:t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IXL Learning, Inc.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IXL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July 1, 2025-June 30, 2026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IXL is a personalized learning platform that supports academic growth across all grade levels with a comprehensive K–12 curriculum. It provides students with tailored guidance based on their individual progress and learning needs, while giving educators real-time data and insights to inform instruction.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$68,299.50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SBDM: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CEMS $15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,384.00, Rise $2,600.00, OMS $2,000.00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Title 1: KES $5,568.75, SCES $11,700.00 RAJMS $3,480.00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Student Fees: BMS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6,093.75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GMS $16,912.50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KETS: RCHS $1,100.00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IDEA: CHS $648.00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($299.00 + $349.00)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Textbook Fees: RHS $2,812.50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*If more than one funding source, list below along with amount or percent for each source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N/A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this contract between Boone County Schools and IXL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245" w:left="245" w:right="245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Ms. Julie Maddox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Mr. Jesse Parks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color w:val="800000"/>
        <w:sz w:val="20"/>
        <w:szCs w:val="20"/>
      </w:rPr>
    </w:pPr>
    <w:r w:rsidDel="00000000" w:rsidR="00000000" w:rsidRPr="00000000">
      <w:rPr>
        <w:b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unhideWhenUsed w:val="1"/>
    <w:rsid w:val="00C84AF9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Bt/4TWJU32HlHD03zejzYhLUA==">CgMxLjA4AHIhMW9rVjF5dTVBZWZCZWdmVTRQUXBmSC1ub1ZmM1JYLXps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2025-05-21T15:50:00Z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