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1"/>
          <w:i w:val="0"/>
          <w:smallCaps w:val="0"/>
          <w:strike w:val="0"/>
          <w:color w:val="000000"/>
          <w:sz w:val="8"/>
          <w:szCs w:val="8"/>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6/12/2025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Imagine Learning Inc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Edgenuity, Edgenuity for Exceptional Students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 June 30,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Edgenuity is an online digital curriculum platform for grades 6–12, offering interactive, standards-aligned courses across core subjects, electives, AP, and CTE. Designed to support diverse learning paths—including initial credit, credit recovery, and personalized instruction—it uses adaptive learning technology to target skill gaps and keep students engaged. The platform provides real-time data dashboards, automated grading, and integration with major LMS and SIS systems, making it a powerful tool for educators to monitor progress and tailor instruction.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$143,131.14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 District SpEd ($648.24) / District LSS Textbook:  $61,301.65 / KETS: RCHS ($8,800.00), RHS ($8,800.00), District: ($8,031.11)</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Fees: CHS ($8,800.00) / Ignite Fund Budget: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360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Supplemental Curriculum: BCHS ($8,800.00)</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LAVEC: Accel ($1,650.14), BCHS ($3,960.00), CHS ($3,960.00), RCHS ($3,960.00), RHS ($3,960.00), Rise ($1,100.00)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contract between Boone County Schools and Imagine learning as presented.</w:t>
      </w:r>
      <w:r w:rsidDel="00000000" w:rsidR="00000000" w:rsidRPr="00000000">
        <w:rPr>
          <w:rtl w:val="0"/>
        </w:rPr>
      </w:r>
    </w:p>
    <w:p w:rsidR="00000000" w:rsidDel="00000000" w:rsidP="00000000" w:rsidRDefault="00000000" w:rsidRPr="00000000" w14:paraId="00000022">
      <w:pPr>
        <w:rPr>
          <w:sz w:val="8"/>
          <w:szCs w:val="8"/>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6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unhideWhenUsed w:val="1"/>
    <w:rsid w:val="00C84AF9"/>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u0HWJrBRcm6knz7gD8xb41Rzg==">CgMxLjA4AHIhMUJ2LXhucy1EakZMU25zTkhUc2ZUeDFQRFdnRWZJUk9o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2025-05-15T17:31:00Z</dcterms:created>
  <dc:creator>Younger, Stephanie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