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w:t>
      </w:r>
      <w:r w:rsidDel="00000000" w:rsidR="00000000" w:rsidRPr="00000000">
        <w:rPr>
          <w:rFonts w:ascii="Calibri" w:cs="Calibri" w:eastAsia="Calibri" w:hAnsi="Calibri"/>
          <w:rtl w:val="0"/>
        </w:rPr>
        <w:t xml:space="preserve">/17/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Support Services (LSS)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Courses offered for HS Credit for 2025-2026 School Year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between BC High Schools &amp; Middle Schools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June 20,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rtl w:val="0"/>
        </w:rPr>
        <w:t xml:space="preserve">Strategic Plan- Goal 1: World Class Education. “Boone County Schools will ensure all students will receive rigorous and engaging instruction” (1B).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Offering various MS Courses for HS Credit for the following schools during the 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-2026 school year:</w:t>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Ballyshannon MS: </w:t>
        <w:tab/>
        <w:t xml:space="preserve">Algebra 1, Digital Literacy, Spanish 1</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Camp Ernst MS: </w:t>
        <w:tab/>
        <w:t xml:space="preserve">Algebra 1, Spanish 1</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Conner MS: </w:t>
        <w:tab/>
        <w:tab/>
        <w:t xml:space="preserve">Algebra 1</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Gray MS: </w:t>
        <w:tab/>
        <w:tab/>
        <w:t xml:space="preserve">Algebra 1, Geometry, Digital Literacy</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Ockerman MS: </w:t>
        <w:tab/>
        <w:t xml:space="preserve">Algebra 1, Geometry, Digital Literacy, Spanish 1</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RA Jones MS: </w:t>
        <w:tab/>
        <w:tab/>
        <w:t xml:space="preserve">Algebra 1, Digital Literacy, French 1</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reviewed each course offering and they are within curriculum guidelines for earning HS credit.  Any other course offerings that may be needed for students by attending classes at the HS level will be in partnership with the HS principal, the MS principal, and the Director of MS/HS LSS.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the MS Courses offered for HS Credit for 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/2026 School Year, as presented.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B">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000000"/>
          <w:rtl w:val="0"/>
        </w:rPr>
        <w:t xml:space="preserve">Tracy Schaefer, Director of MS/HS Teaching &amp; Learning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4">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QkiOoQoxc99yIcDox2wFon2w==">CgMxLjA4AHIhMVZMMUJ4UWtqTGc0ZTJqNjM3WmZsNmp4UjRzUFlNWXMw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2025-01-22T18:58:00Z</dcterms:created>
  <dc:creator>Staff</dc:creator>
</cp:coreProperties>
</file>